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合肥工业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哲学社会科学培育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项目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验收细则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为进一步加强中央高校基本科研业务费的绩效管理，强化绩效目标管理，做好绩效运行监控，引导科研资源向优秀人才和团队倾斜，提高科研经费使用效益，制定本细则。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合肥工业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哲学社会科学培育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项目是指社会科学处主管的中央高校基本科研业务费项目。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合肥工业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哲学社会科学培育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项目研究成果的中英文标注为“中央高校基本科研业务费专项资金资助”(supported by“the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Fundamental Research Funds for the Central Universities”)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第四条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项目申报的预期成果不应低于结题条件。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一般项目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负责人，符合以下任何条件之一，可以申请结项：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（一）作为第一署名人发表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高水平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论文1篇；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作为第一署名人出版专著1部；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）作为第一署名人获得地厅级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及以上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政府部门采纳的研究成果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（以相关批示或采纳证明为验收依据）；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）作为项目负责人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省部级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以上项目1项；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智库研究专项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负责人，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至少应向省级及以上内参报送专报2篇，且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符合以下任何条件之一，可以申请结项：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（一）作为第一署名人的咨政报告获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省部级及以上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肯定性批示（不含圈阅）；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（二）作为第一署名人的咨政报告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被国家部委或省委省政府采纳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作为第一署名人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的咨政报告被国家部委报送中央领导的内参刊发，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教育部《高校智库专刊》、《教育要情》、《专家建议》、中共中央办公厅内参、新华社内参、人民日报内参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作为第一署名人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的的咨政报告被省级机关直报省委省政府主要领导的内参刊发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《学界兴皖》《安徽智库建言》《安徽省情》等；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）作为第一署名人的研究成果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刊发在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《人民日报》理论版（2000字以上）、《光明日报》理论版（2000字以上）、《光明日报》智库版（2000字以上）；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社科创新群体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负责人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或课题组成员在项目执行期内必须申报国家社科重大或重点项目，且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符合以下任何条件之一，可以申请结项：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获批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重大或重点项目；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（二）作为第一署名人发表6篇国内外高水平论文；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）作为第一署名人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出版高水平专著1部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咨政报告获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省部级及以上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肯定性批示（不含圈阅）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2篇以上；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咨政报告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被国家部委或省委省政府采纳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应用2篇以上；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同一成果只能用于一项基本科研业务费项目结题验收。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符合结题验收条件的项目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在项目到期后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向社会科学处提交结题验收材料，社会科学处定期组织项目的验收。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参加验收的项目负责人提交结题成果报告1份（含电子文件），成果附件（论文、获奖、立项等证明材料的复印件）1份和带水印的预算执行情况1份；参加中检的项目负责人提交年度进展报告1份（含电子文件）；如不能按期结项或有重大变化，项目负责人需提交延期申请表1份（含电子文件）。以上材料经所在院系审核、签字、盖章后报送社会科学处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NzE4ZTgwNzhhNWM3Mzc4YjVlMTI1NTdmMjVhMDQifQ=="/>
  </w:docVars>
  <w:rsids>
    <w:rsidRoot w:val="44A2598A"/>
    <w:rsid w:val="03F02307"/>
    <w:rsid w:val="0C567C80"/>
    <w:rsid w:val="0C6B6BF0"/>
    <w:rsid w:val="0F0D0241"/>
    <w:rsid w:val="11AA1B96"/>
    <w:rsid w:val="14FF6E82"/>
    <w:rsid w:val="18146F68"/>
    <w:rsid w:val="1BEE39B4"/>
    <w:rsid w:val="211748ED"/>
    <w:rsid w:val="21B85189"/>
    <w:rsid w:val="22400CF8"/>
    <w:rsid w:val="252B17F6"/>
    <w:rsid w:val="27096BC8"/>
    <w:rsid w:val="28E05524"/>
    <w:rsid w:val="2EF82A45"/>
    <w:rsid w:val="35F20D6E"/>
    <w:rsid w:val="3B6236A0"/>
    <w:rsid w:val="3BC22F9E"/>
    <w:rsid w:val="3C990E6E"/>
    <w:rsid w:val="41D96BC8"/>
    <w:rsid w:val="44A2598A"/>
    <w:rsid w:val="4DF277DE"/>
    <w:rsid w:val="50792A38"/>
    <w:rsid w:val="52DE0BEE"/>
    <w:rsid w:val="53BF452D"/>
    <w:rsid w:val="55B02A26"/>
    <w:rsid w:val="5BAF28DD"/>
    <w:rsid w:val="60394A8C"/>
    <w:rsid w:val="64BC09D4"/>
    <w:rsid w:val="65270981"/>
    <w:rsid w:val="658C7CF0"/>
    <w:rsid w:val="65B65064"/>
    <w:rsid w:val="66BC5161"/>
    <w:rsid w:val="6743454D"/>
    <w:rsid w:val="6FE5243D"/>
    <w:rsid w:val="70D06562"/>
    <w:rsid w:val="766B4556"/>
    <w:rsid w:val="79ED32F3"/>
    <w:rsid w:val="7CAE34C9"/>
    <w:rsid w:val="7D012C68"/>
    <w:rsid w:val="7D5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2024-04-10T01:48:00Z</dcterms:created>
  <dc:creator>神算半仙</dc:creator>
  <cp:lastModifiedBy>神算半仙</cp:lastModifiedBy>
  <dcterms:modified xsi:type="dcterms:W3CDTF">2024-04-23T08:14:32Z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0045985F54254048B364A6650FBA35C9_13</vt:lpwstr>
  </property>
</Properties>
</file>