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958D1F">
      <w:pPr>
        <w:spacing w:line="580" w:lineRule="exact"/>
        <w:jc w:val="center"/>
        <w:rPr>
          <w:rFonts w:ascii="Times New Roman" w:hAnsi="方正小标宋简体" w:eastAsia="方正小标宋简体" w:cs="方正小标宋简体"/>
          <w:color w:val="auto"/>
          <w:sz w:val="36"/>
          <w:szCs w:val="36"/>
          <w:highlight w:val="none"/>
        </w:rPr>
      </w:pPr>
      <w:bookmarkStart w:id="0" w:name="_GoBack"/>
      <w:bookmarkEnd w:id="0"/>
      <w:r>
        <w:rPr>
          <w:rFonts w:hint="eastAsia" w:ascii="Times New Roman" w:hAnsi="方正小标宋简体" w:eastAsia="方正小标宋简体" w:cs="方正小标宋简体"/>
          <w:color w:val="auto"/>
          <w:sz w:val="36"/>
          <w:szCs w:val="36"/>
          <w:highlight w:val="none"/>
        </w:rPr>
        <w:t>2026年全国教育科学规划中国教育法治与</w:t>
      </w:r>
      <w:r>
        <w:rPr>
          <w:rFonts w:hint="eastAsia" w:ascii="Times New Roman" w:hAnsi="方正小标宋简体" w:eastAsia="方正小标宋简体" w:cs="方正小标宋简体"/>
          <w:color w:val="auto"/>
          <w:sz w:val="36"/>
          <w:szCs w:val="36"/>
          <w:highlight w:val="none"/>
        </w:rPr>
        <w:br w:type="textWrapping"/>
      </w:r>
      <w:r>
        <w:rPr>
          <w:rFonts w:hint="eastAsia" w:ascii="Times New Roman" w:hAnsi="方正小标宋简体" w:eastAsia="方正小标宋简体" w:cs="方正小标宋简体"/>
          <w:color w:val="auto"/>
          <w:sz w:val="36"/>
          <w:szCs w:val="36"/>
          <w:highlight w:val="none"/>
        </w:rPr>
        <w:t>全球教育治理研究专项指南</w:t>
      </w:r>
    </w:p>
    <w:p w14:paraId="306C6248">
      <w:pPr>
        <w:spacing w:line="580" w:lineRule="exact"/>
        <w:jc w:val="center"/>
        <w:rPr>
          <w:rFonts w:ascii="Times New Roman" w:hAnsi="Times New Roman" w:eastAsia="方正小标宋简体" w:cs="方正小标宋简体"/>
          <w:color w:val="auto"/>
          <w:sz w:val="44"/>
          <w:szCs w:val="44"/>
          <w:highlight w:val="none"/>
        </w:rPr>
      </w:pPr>
    </w:p>
    <w:p w14:paraId="42113520">
      <w:pPr>
        <w:spacing w:line="580" w:lineRule="exact"/>
        <w:ind w:firstLine="640" w:firstLineChars="200"/>
        <w:rPr>
          <w:rFonts w:ascii="Times New Roman" w:hAnsi="仿宋_GB2312" w:eastAsia="仿宋_GB2312" w:cs="仿宋_GB2312"/>
          <w:color w:val="auto"/>
          <w:sz w:val="32"/>
          <w:szCs w:val="40"/>
          <w:highlight w:val="none"/>
        </w:rPr>
      </w:pPr>
      <w:r>
        <w:rPr>
          <w:rFonts w:ascii="Times New Roman" w:hAnsi="仿宋_GB2312" w:eastAsia="仿宋_GB2312" w:cs="仿宋_GB2312"/>
          <w:color w:val="auto"/>
          <w:sz w:val="32"/>
          <w:szCs w:val="40"/>
          <w:highlight w:val="none"/>
        </w:rPr>
        <w:t>中国教育法治与全球教育治理研究专项包括</w:t>
      </w:r>
      <w:r>
        <w:rPr>
          <w:rFonts w:hint="eastAsia" w:ascii="Times New Roman" w:hAnsi="仿宋_GB2312" w:eastAsia="仿宋_GB2312" w:cs="仿宋_GB2312"/>
          <w:color w:val="auto"/>
          <w:sz w:val="32"/>
          <w:szCs w:val="40"/>
          <w:highlight w:val="none"/>
        </w:rPr>
        <w:t>重大、</w:t>
      </w:r>
      <w:r>
        <w:rPr>
          <w:rFonts w:ascii="Times New Roman" w:hAnsi="仿宋_GB2312" w:eastAsia="仿宋_GB2312" w:cs="仿宋_GB2312"/>
          <w:color w:val="auto"/>
          <w:sz w:val="32"/>
          <w:szCs w:val="40"/>
          <w:highlight w:val="none"/>
        </w:rPr>
        <w:t>重点、一般和培育项目。申报</w:t>
      </w:r>
      <w:r>
        <w:rPr>
          <w:rFonts w:hint="eastAsia" w:ascii="Times New Roman" w:hAnsi="仿宋_GB2312" w:eastAsia="仿宋_GB2312" w:cs="仿宋_GB2312"/>
          <w:color w:val="auto"/>
          <w:sz w:val="32"/>
          <w:szCs w:val="40"/>
          <w:highlight w:val="none"/>
        </w:rPr>
        <w:t>重大项目、</w:t>
      </w:r>
      <w:r>
        <w:rPr>
          <w:rFonts w:ascii="Times New Roman" w:hAnsi="仿宋_GB2312" w:eastAsia="仿宋_GB2312" w:cs="仿宋_GB2312"/>
          <w:color w:val="auto"/>
          <w:sz w:val="32"/>
          <w:szCs w:val="40"/>
          <w:highlight w:val="none"/>
        </w:rPr>
        <w:t>重点项目、一般项目必须从相应条目中选择，并按照指南意图进行研究设计</w:t>
      </w:r>
      <w:r>
        <w:rPr>
          <w:rFonts w:hint="eastAsia" w:ascii="Times New Roman" w:hAnsi="仿宋_GB2312" w:eastAsia="仿宋_GB2312" w:cs="仿宋_GB2312"/>
          <w:color w:val="auto"/>
          <w:sz w:val="32"/>
          <w:szCs w:val="40"/>
          <w:highlight w:val="none"/>
        </w:rPr>
        <w:t>，</w:t>
      </w:r>
      <w:r>
        <w:rPr>
          <w:rFonts w:ascii="Times New Roman" w:hAnsi="仿宋_GB2312" w:eastAsia="仿宋_GB2312" w:cs="仿宋_GB2312"/>
          <w:color w:val="auto"/>
          <w:sz w:val="32"/>
          <w:szCs w:val="40"/>
          <w:highlight w:val="none"/>
        </w:rPr>
        <w:t>自拟选题不予受理。培育项目如确有需要，可对选题进行适当微调，但不得大幅压缩或改变研究内容</w:t>
      </w:r>
      <w:r>
        <w:rPr>
          <w:rFonts w:hint="eastAsia" w:ascii="Times New Roman" w:hAnsi="仿宋_GB2312" w:eastAsia="仿宋_GB2312" w:cs="仿宋_GB2312"/>
          <w:color w:val="auto"/>
          <w:sz w:val="32"/>
          <w:szCs w:val="40"/>
          <w:highlight w:val="none"/>
        </w:rPr>
        <w:t>，</w:t>
      </w:r>
      <w:r>
        <w:rPr>
          <w:rFonts w:ascii="Times New Roman" w:hAnsi="仿宋_GB2312" w:eastAsia="仿宋_GB2312" w:cs="仿宋_GB2312"/>
          <w:color w:val="auto"/>
          <w:sz w:val="32"/>
          <w:szCs w:val="40"/>
          <w:highlight w:val="none"/>
        </w:rPr>
        <w:t>必须与专项研究领域密切相关。研究期限为2</w:t>
      </w:r>
      <w:r>
        <w:rPr>
          <w:rFonts w:hint="eastAsia" w:ascii="Times New Roman" w:hAnsi="仿宋_GB2312" w:eastAsia="仿宋_GB2312" w:cs="仿宋_GB2312"/>
          <w:color w:val="auto"/>
          <w:sz w:val="32"/>
          <w:szCs w:val="40"/>
          <w:highlight w:val="none"/>
        </w:rPr>
        <w:t>—</w:t>
      </w:r>
      <w:r>
        <w:rPr>
          <w:rFonts w:ascii="Times New Roman" w:hAnsi="仿宋_GB2312" w:eastAsia="仿宋_GB2312" w:cs="仿宋_GB2312"/>
          <w:color w:val="auto"/>
          <w:sz w:val="32"/>
          <w:szCs w:val="40"/>
          <w:highlight w:val="none"/>
        </w:rPr>
        <w:t>3年，不得延期。每个选题原则上只确立1个立项项目。</w:t>
      </w:r>
    </w:p>
    <w:p w14:paraId="5CE4B063">
      <w:pPr>
        <w:numPr>
          <w:ilvl w:val="0"/>
          <w:numId w:val="1"/>
        </w:numPr>
        <w:spacing w:before="156" w:beforeLines="50" w:after="156" w:afterLines="50" w:line="580" w:lineRule="exact"/>
        <w:ind w:firstLine="643" w:firstLineChars="200"/>
        <w:rPr>
          <w:rFonts w:ascii="Times New Roman" w:hAnsi="黑体" w:eastAsia="黑体" w:cs="黑体"/>
          <w:b/>
          <w:bCs/>
          <w:color w:val="auto"/>
          <w:sz w:val="32"/>
          <w:szCs w:val="32"/>
          <w:highlight w:val="none"/>
        </w:rPr>
      </w:pPr>
      <w:r>
        <w:rPr>
          <w:rFonts w:hint="eastAsia" w:ascii="Times New Roman" w:hAnsi="黑体" w:eastAsia="黑体" w:cs="黑体"/>
          <w:b/>
          <w:bCs/>
          <w:color w:val="auto"/>
          <w:sz w:val="32"/>
          <w:szCs w:val="32"/>
          <w:highlight w:val="none"/>
        </w:rPr>
        <w:t>重大项目</w:t>
      </w:r>
    </w:p>
    <w:p w14:paraId="1A6D9C64">
      <w:pPr>
        <w:numPr>
          <w:ilvl w:val="0"/>
          <w:numId w:val="2"/>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教育法典编纂研究（重大）</w:t>
      </w:r>
    </w:p>
    <w:p w14:paraId="7F61E3DC">
      <w:pPr>
        <w:numPr>
          <w:ilvl w:val="0"/>
          <w:numId w:val="3"/>
        </w:numPr>
        <w:spacing w:line="580" w:lineRule="exact"/>
        <w:ind w:left="840" w:leftChars="0" w:hanging="420" w:firstLineChars="0"/>
        <w:outlineLvl w:val="1"/>
        <w:rPr>
          <w:rFonts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指南意图：</w:t>
      </w:r>
    </w:p>
    <w:p w14:paraId="2F0A9178">
      <w:pPr>
        <w:spacing w:line="580" w:lineRule="exact"/>
        <w:ind w:firstLine="643" w:firstLineChars="200"/>
        <w:outlineLvl w:val="2"/>
        <w:rPr>
          <w:rFonts w:hint="eastAsia" w:ascii="Times New Roman" w:hAnsi="仿宋_GB2312" w:eastAsia="仿宋_GB2312" w:cs="仿宋_GB2312"/>
          <w:b/>
          <w:bCs/>
          <w:color w:val="auto"/>
          <w:sz w:val="32"/>
          <w:szCs w:val="40"/>
          <w:highlight w:val="none"/>
          <w:lang w:eastAsia="zh-CN"/>
        </w:rPr>
      </w:pPr>
      <w:r>
        <w:rPr>
          <w:rFonts w:hint="eastAsia" w:ascii="Times New Roman" w:hAnsi="仿宋_GB2312" w:eastAsia="仿宋_GB2312" w:cs="仿宋_GB2312"/>
          <w:b/>
          <w:bCs/>
          <w:color w:val="auto"/>
          <w:sz w:val="32"/>
          <w:szCs w:val="40"/>
          <w:highlight w:val="none"/>
        </w:rPr>
        <w:t>1.习近平总书记关于教育的重要论述的法律化</w:t>
      </w:r>
      <w:r>
        <w:rPr>
          <w:rFonts w:hint="eastAsia" w:ascii="Times New Roman" w:hAnsi="仿宋_GB2312" w:eastAsia="仿宋_GB2312" w:cs="仿宋_GB2312"/>
          <w:b/>
          <w:bCs/>
          <w:color w:val="auto"/>
          <w:sz w:val="32"/>
          <w:szCs w:val="40"/>
          <w:highlight w:val="none"/>
          <w:lang w:val="en-US" w:eastAsia="zh-CN"/>
        </w:rPr>
        <w:t>表达</w:t>
      </w:r>
    </w:p>
    <w:p w14:paraId="6700F840">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主要任务：研究将习近平总书记关于教育的重要论述在教育法典中制度化、法律化</w:t>
      </w:r>
      <w:r>
        <w:rPr>
          <w:rFonts w:hint="eastAsia" w:ascii="Times New Roman" w:hAnsi="仿宋_GB2312" w:eastAsia="仿宋_GB2312" w:cs="仿宋_GB2312"/>
          <w:b w:val="0"/>
          <w:bCs w:val="0"/>
          <w:color w:val="auto"/>
          <w:sz w:val="32"/>
          <w:szCs w:val="40"/>
          <w:highlight w:val="none"/>
          <w:lang w:val="en-US" w:eastAsia="zh-CN"/>
        </w:rPr>
        <w:t>表达</w:t>
      </w:r>
      <w:r>
        <w:rPr>
          <w:rFonts w:hint="eastAsia" w:ascii="Times New Roman" w:hAnsi="仿宋_GB2312" w:eastAsia="仿宋_GB2312" w:cs="仿宋_GB2312"/>
          <w:b w:val="0"/>
          <w:bCs w:val="0"/>
          <w:color w:val="auto"/>
          <w:sz w:val="32"/>
          <w:szCs w:val="40"/>
          <w:highlight w:val="none"/>
        </w:rPr>
        <w:t>的路径方案。</w:t>
      </w:r>
    </w:p>
    <w:p w14:paraId="11FB5E7E">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具体方向：研究如何将党对教育工作全面领导以及“立德树人”根本要求转化为法律规范</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研究如何将“九个坚持”核心要义转化为教育法典的基本原则或条款，形成贯穿法典的政治主线</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研究如何将建设教育强国的“五大关系”“六大特征”“八大体系”“九大任务”转化为教育法典具体规定</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宋体" w:eastAsia="仿宋_GB2312" w:cs="仿宋_GB2312"/>
          <w:b w:val="0"/>
          <w:bCs w:val="0"/>
          <w:color w:val="auto"/>
          <w:sz w:val="32"/>
          <w:szCs w:val="32"/>
          <w:highlight w:val="none"/>
        </w:rPr>
        <w:t>系统梳理习近平总书记关于教育的重要论述</w:t>
      </w:r>
      <w:r>
        <w:rPr>
          <w:rFonts w:hint="eastAsia" w:ascii="Times New Roman" w:hAnsi="宋体" w:eastAsia="仿宋_GB2312" w:cs="仿宋_GB2312"/>
          <w:b w:val="0"/>
          <w:bCs w:val="0"/>
          <w:color w:val="auto"/>
          <w:sz w:val="32"/>
          <w:szCs w:val="32"/>
          <w:highlight w:val="none"/>
          <w:lang w:val="en-US" w:eastAsia="zh-CN"/>
        </w:rPr>
        <w:t>各</w:t>
      </w:r>
      <w:r>
        <w:rPr>
          <w:rFonts w:hint="eastAsia" w:ascii="Times New Roman" w:hAnsi="宋体" w:eastAsia="仿宋_GB2312" w:cs="仿宋_GB2312"/>
          <w:b w:val="0"/>
          <w:bCs w:val="0"/>
          <w:color w:val="auto"/>
          <w:sz w:val="32"/>
          <w:szCs w:val="32"/>
          <w:highlight w:val="none"/>
        </w:rPr>
        <w:t>方面并研究将其法律化</w:t>
      </w:r>
      <w:r>
        <w:rPr>
          <w:rFonts w:hint="eastAsia" w:ascii="Times New Roman" w:hAnsi="仿宋_GB2312" w:eastAsia="仿宋_GB2312" w:cs="仿宋_GB2312"/>
          <w:b w:val="0"/>
          <w:bCs w:val="0"/>
          <w:color w:val="auto"/>
          <w:sz w:val="32"/>
          <w:szCs w:val="40"/>
          <w:highlight w:val="none"/>
          <w:lang w:val="en-US" w:eastAsia="zh-CN"/>
        </w:rPr>
        <w:t>表达</w:t>
      </w:r>
      <w:r>
        <w:rPr>
          <w:rFonts w:hint="eastAsia" w:ascii="Times New Roman" w:hAnsi="宋体" w:eastAsia="仿宋_GB2312" w:cs="仿宋_GB2312"/>
          <w:b w:val="0"/>
          <w:bCs w:val="0"/>
          <w:color w:val="auto"/>
          <w:sz w:val="32"/>
          <w:szCs w:val="32"/>
          <w:highlight w:val="none"/>
        </w:rPr>
        <w:t>的路径方案。</w:t>
      </w:r>
    </w:p>
    <w:p w14:paraId="274422FA">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2.教育法基础理论与法律关系研究。</w:t>
      </w:r>
    </w:p>
    <w:p w14:paraId="3D961FAA">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主要任务：夯实教育法典的理论基石。</w:t>
      </w:r>
    </w:p>
    <w:p w14:paraId="1084A791">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具体方向：深入辨析教育法的基本法律概念的内涵与外延</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厘清教育法与宪法、民法典、行政法及其他部门法的联系与区别</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探讨教育法典在国家法律体系中的独立地位与功能定位</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其他与构建教育法理论体系有关的重要问题。</w:t>
      </w:r>
    </w:p>
    <w:p w14:paraId="73026508">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3.各国教育法学主要学者及经典著作译介与研究</w:t>
      </w:r>
    </w:p>
    <w:p w14:paraId="3B61F989">
      <w:pPr>
        <w:spacing w:line="580" w:lineRule="exact"/>
        <w:ind w:firstLine="640" w:firstLineChars="200"/>
        <w:outlineLvl w:val="2"/>
        <w:rPr>
          <w:rFonts w:ascii="Times New Roman" w:hAnsi="仿宋_GB2312" w:eastAsia="仿宋_GB2312" w:cs="仿宋_GB2312"/>
          <w:b w:val="0"/>
          <w:bCs w:val="0"/>
          <w:color w:val="auto"/>
          <w:sz w:val="32"/>
          <w:szCs w:val="40"/>
          <w:highlight w:val="none"/>
        </w:rPr>
      </w:pPr>
      <w:r>
        <w:rPr>
          <w:rFonts w:ascii="Times New Roman" w:hAnsi="仿宋_GB2312" w:eastAsia="仿宋_GB2312" w:cs="仿宋_GB2312"/>
          <w:b w:val="0"/>
          <w:bCs w:val="0"/>
          <w:color w:val="auto"/>
          <w:sz w:val="32"/>
          <w:szCs w:val="40"/>
          <w:highlight w:val="none"/>
        </w:rPr>
        <w:t>主要任务：系统</w:t>
      </w:r>
      <w:r>
        <w:rPr>
          <w:rFonts w:hint="eastAsia" w:ascii="Times New Roman" w:hAnsi="仿宋_GB2312" w:eastAsia="仿宋_GB2312" w:cs="仿宋_GB2312"/>
          <w:b w:val="0"/>
          <w:bCs w:val="0"/>
          <w:color w:val="auto"/>
          <w:sz w:val="32"/>
          <w:szCs w:val="40"/>
          <w:highlight w:val="none"/>
        </w:rPr>
        <w:t>介绍</w:t>
      </w:r>
      <w:r>
        <w:rPr>
          <w:rFonts w:ascii="Times New Roman" w:hAnsi="仿宋_GB2312" w:eastAsia="仿宋_GB2312" w:cs="仿宋_GB2312"/>
          <w:b w:val="0"/>
          <w:bCs w:val="0"/>
          <w:color w:val="auto"/>
          <w:sz w:val="32"/>
          <w:szCs w:val="40"/>
          <w:highlight w:val="none"/>
        </w:rPr>
        <w:t>全球教育法学具有代表性的学术成果，拓宽法典编纂的国际视野，为中国教育法典提供比较法资源与经验镜鉴，推动域外优秀</w:t>
      </w:r>
      <w:r>
        <w:rPr>
          <w:rFonts w:hint="eastAsia" w:ascii="Times New Roman" w:hAnsi="仿宋_GB2312" w:eastAsia="仿宋_GB2312" w:cs="仿宋_GB2312"/>
          <w:b w:val="0"/>
          <w:bCs w:val="0"/>
          <w:color w:val="auto"/>
          <w:sz w:val="32"/>
          <w:szCs w:val="40"/>
          <w:highlight w:val="none"/>
        </w:rPr>
        <w:t>教育法学</w:t>
      </w:r>
      <w:r>
        <w:rPr>
          <w:rFonts w:ascii="Times New Roman" w:hAnsi="仿宋_GB2312" w:eastAsia="仿宋_GB2312" w:cs="仿宋_GB2312"/>
          <w:b w:val="0"/>
          <w:bCs w:val="0"/>
          <w:color w:val="auto"/>
          <w:sz w:val="32"/>
          <w:szCs w:val="40"/>
          <w:highlight w:val="none"/>
        </w:rPr>
        <w:t>的本土化转化。</w:t>
      </w:r>
    </w:p>
    <w:p w14:paraId="0C898765">
      <w:pPr>
        <w:spacing w:line="580" w:lineRule="exact"/>
        <w:ind w:firstLine="640" w:firstLineChars="200"/>
        <w:outlineLvl w:val="2"/>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具体方向：国际知名教育法学者学术思想体系研究，梳理各国权威教育法学者的学术观点，形成专门的评述与研究报告，挖掘其对现代教育法治的理论贡献</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核心法律概念的比较法溯源与辨析</w:t>
      </w:r>
      <w:r>
        <w:rPr>
          <w:rFonts w:hint="eastAsia" w:ascii="Times New Roman" w:hAnsi="仿宋_GB2312" w:eastAsia="仿宋_GB2312" w:cs="仿宋_GB2312"/>
          <w:b w:val="0"/>
          <w:bCs w:val="0"/>
          <w:color w:val="auto"/>
          <w:sz w:val="32"/>
          <w:szCs w:val="40"/>
          <w:highlight w:val="none"/>
        </w:rPr>
        <w:t>，追踪教育法核心概念在不同法域的起源、演变及解释</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域外教育法典化的历史与经验研究</w:t>
      </w:r>
      <w:r>
        <w:rPr>
          <w:rFonts w:hint="eastAsia" w:ascii="Times New Roman" w:hAnsi="仿宋_GB2312" w:eastAsia="仿宋_GB2312" w:cs="仿宋_GB2312"/>
          <w:b w:val="0"/>
          <w:bCs w:val="0"/>
          <w:color w:val="auto"/>
          <w:sz w:val="32"/>
          <w:szCs w:val="40"/>
          <w:highlight w:val="none"/>
        </w:rPr>
        <w:t>，研究主要国家教育法典的编纂历程、体例结构及修法机制，分析编纂过程中的争议焦点、妥协方案及失败教训</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其他与全球教育法学研究有关的重要问题。</w:t>
      </w:r>
    </w:p>
    <w:p w14:paraId="433F77FF">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4.教育法典的编纂体例与逻辑体系研究</w:t>
      </w:r>
    </w:p>
    <w:p w14:paraId="6F6B5297">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主要任务：设计科学合理的法典框架。</w:t>
      </w:r>
    </w:p>
    <w:p w14:paraId="40423EFA">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w:t>
      </w:r>
      <w:r>
        <w:rPr>
          <w:rFonts w:ascii="Times New Roman" w:hAnsi="仿宋_GB2312" w:eastAsia="仿宋_GB2312" w:cs="仿宋_GB2312"/>
          <w:b w:val="0"/>
          <w:bCs w:val="0"/>
          <w:color w:val="auto"/>
          <w:sz w:val="32"/>
          <w:szCs w:val="40"/>
          <w:highlight w:val="none"/>
        </w:rPr>
        <w:t>研究法典的宏观篇章布局</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攻克“提取公因式”的立法技术难题，科学划分总则与分则的调整范围，确保各编之间逻辑严密、衔接顺畅，避免内容重复或冲突</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其他与教育法典的编纂体例与逻辑体系有关的重要问题。</w:t>
      </w:r>
    </w:p>
    <w:p w14:paraId="06BFA303">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5.教育法典总则研究</w:t>
      </w:r>
    </w:p>
    <w:p w14:paraId="2A8AECDA">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主要任务：起草形成教育法典总则专家建议稿</w:t>
      </w:r>
      <w:r>
        <w:rPr>
          <w:rFonts w:hint="eastAsia" w:ascii="Times New Roman" w:hAnsi="仿宋_GB2312" w:eastAsia="仿宋_GB2312" w:cs="仿宋_GB2312"/>
          <w:b w:val="0"/>
          <w:bCs w:val="0"/>
          <w:color w:val="auto"/>
          <w:sz w:val="32"/>
          <w:szCs w:val="40"/>
          <w:highlight w:val="none"/>
          <w:lang w:eastAsia="zh-CN"/>
        </w:rPr>
        <w:t>。</w:t>
      </w:r>
    </w:p>
    <w:p w14:paraId="438E4730">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具体方向：对现行有效教育法律、法规及规章中的共性规范进行系统梳理与体系化融合</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对经过实践检验、成熟稳定的教育改革政策进行法律化提炼</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针对数字教育、终身学习、全球教育治理等新兴领域或法律空白，进行前瞻性制度设计</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其他与教育法典总则编纂有关的重要问题。</w:t>
      </w:r>
    </w:p>
    <w:p w14:paraId="559893E8">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6.教育法典分则研究</w:t>
      </w:r>
    </w:p>
    <w:p w14:paraId="6C871689">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w:t>
      </w:r>
      <w:r>
        <w:rPr>
          <w:rFonts w:ascii="Times New Roman" w:hAnsi="仿宋_GB2312" w:eastAsia="仿宋_GB2312" w:cs="仿宋_GB2312"/>
          <w:b w:val="0"/>
          <w:bCs w:val="0"/>
          <w:color w:val="auto"/>
          <w:sz w:val="32"/>
          <w:szCs w:val="40"/>
          <w:highlight w:val="none"/>
        </w:rPr>
        <w:t>：起草形成教育法典</w:t>
      </w:r>
      <w:r>
        <w:rPr>
          <w:rFonts w:hint="eastAsia" w:ascii="Times New Roman" w:hAnsi="仿宋_GB2312" w:eastAsia="仿宋_GB2312" w:cs="仿宋_GB2312"/>
          <w:b w:val="0"/>
          <w:bCs w:val="0"/>
          <w:color w:val="auto"/>
          <w:sz w:val="32"/>
          <w:szCs w:val="40"/>
          <w:highlight w:val="none"/>
        </w:rPr>
        <w:t>分则</w:t>
      </w:r>
      <w:r>
        <w:rPr>
          <w:rFonts w:ascii="Times New Roman" w:hAnsi="仿宋_GB2312" w:eastAsia="仿宋_GB2312" w:cs="仿宋_GB2312"/>
          <w:b w:val="0"/>
          <w:bCs w:val="0"/>
          <w:color w:val="auto"/>
          <w:sz w:val="32"/>
          <w:szCs w:val="40"/>
          <w:highlight w:val="none"/>
        </w:rPr>
        <w:t>专家建议稿</w:t>
      </w:r>
      <w:r>
        <w:rPr>
          <w:rFonts w:hint="eastAsia" w:ascii="Times New Roman" w:hAnsi="仿宋_GB2312" w:eastAsia="仿宋_GB2312" w:cs="仿宋_GB2312"/>
          <w:b w:val="0"/>
          <w:bCs w:val="0"/>
          <w:color w:val="auto"/>
          <w:sz w:val="32"/>
          <w:szCs w:val="40"/>
          <w:highlight w:val="none"/>
          <w:lang w:eastAsia="zh-CN"/>
        </w:rPr>
        <w:t>。</w:t>
      </w:r>
    </w:p>
    <w:p w14:paraId="142CFD51">
      <w:pPr>
        <w:spacing w:line="580" w:lineRule="exact"/>
        <w:ind w:firstLine="640" w:firstLineChars="200"/>
        <w:rPr>
          <w:rFonts w:ascii="Times New Roman" w:hAnsi="仿宋_GB2312" w:eastAsia="仿宋_GB2312" w:cs="仿宋_GB2312"/>
          <w:b w:val="0"/>
          <w:bCs w:val="0"/>
          <w:color w:val="auto"/>
          <w:sz w:val="32"/>
          <w:szCs w:val="40"/>
          <w:highlight w:val="none"/>
        </w:rPr>
      </w:pPr>
      <w:r>
        <w:rPr>
          <w:rFonts w:ascii="Times New Roman" w:hAnsi="仿宋_GB2312" w:eastAsia="仿宋_GB2312" w:cs="仿宋_GB2312"/>
          <w:b w:val="0"/>
          <w:bCs w:val="0"/>
          <w:color w:val="auto"/>
          <w:sz w:val="32"/>
          <w:szCs w:val="40"/>
          <w:highlight w:val="none"/>
        </w:rPr>
        <w:t>具体方向：</w:t>
      </w:r>
      <w:r>
        <w:rPr>
          <w:rFonts w:hint="eastAsia" w:ascii="Times New Roman" w:hAnsi="仿宋_GB2312" w:eastAsia="仿宋_GB2312" w:cs="仿宋_GB2312"/>
          <w:b w:val="0"/>
          <w:bCs w:val="0"/>
          <w:color w:val="auto"/>
          <w:sz w:val="32"/>
          <w:szCs w:val="40"/>
          <w:highlight w:val="none"/>
        </w:rPr>
        <w:t>对包括学前教育、基础教育、职业教育、高等教育、终身教育等各阶段教育纵向体系进行系统研究</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对包括</w:t>
      </w:r>
      <w:r>
        <w:rPr>
          <w:rFonts w:ascii="Times New Roman" w:hAnsi="仿宋_GB2312" w:eastAsia="仿宋_GB2312" w:cs="仿宋_GB2312"/>
          <w:b w:val="0"/>
          <w:bCs w:val="0"/>
          <w:color w:val="auto"/>
          <w:sz w:val="32"/>
          <w:szCs w:val="40"/>
          <w:highlight w:val="none"/>
        </w:rPr>
        <w:t>民办教育管理、中外合作办学、教育考试招生、学位制度、教师队伍建设等</w:t>
      </w:r>
      <w:r>
        <w:rPr>
          <w:rFonts w:hint="eastAsia" w:ascii="Times New Roman" w:hAnsi="仿宋_GB2312" w:eastAsia="仿宋_GB2312" w:cs="仿宋_GB2312"/>
          <w:b w:val="0"/>
          <w:bCs w:val="0"/>
          <w:color w:val="auto"/>
          <w:sz w:val="32"/>
          <w:szCs w:val="40"/>
          <w:highlight w:val="none"/>
        </w:rPr>
        <w:t>教育</w:t>
      </w:r>
      <w:r>
        <w:rPr>
          <w:rFonts w:ascii="Times New Roman" w:hAnsi="仿宋_GB2312" w:eastAsia="仿宋_GB2312" w:cs="仿宋_GB2312"/>
          <w:b w:val="0"/>
          <w:bCs w:val="0"/>
          <w:color w:val="auto"/>
          <w:sz w:val="32"/>
          <w:szCs w:val="40"/>
          <w:highlight w:val="none"/>
        </w:rPr>
        <w:t>横向制度进行系统研究</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其他与教育法典分则编纂有关的重要问题。</w:t>
      </w:r>
    </w:p>
    <w:p w14:paraId="0468B6B4">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7.教育法典配套机制与实施保障研究</w:t>
      </w:r>
    </w:p>
    <w:p w14:paraId="70ADD994">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主要任务：增强法典的可操作性与强制力。</w:t>
      </w:r>
    </w:p>
    <w:p w14:paraId="4F89086E">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具体方向：教育投入与经费保障机制的法律刚性约束</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教育督导、质量评估与监测体系的法治化</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教育法律责任体系及教育纠纷多元化解机制研究。</w:t>
      </w:r>
    </w:p>
    <w:p w14:paraId="588B7C12">
      <w:pPr>
        <w:numPr>
          <w:ilvl w:val="0"/>
          <w:numId w:val="4"/>
        </w:numPr>
        <w:spacing w:line="580" w:lineRule="exact"/>
        <w:ind w:left="840" w:leftChars="0" w:hanging="420" w:firstLineChars="0"/>
        <w:outlineLvl w:val="1"/>
        <w:rPr>
          <w:rFonts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成果形式：</w:t>
      </w:r>
    </w:p>
    <w:p w14:paraId="21417221">
      <w:pPr>
        <w:spacing w:line="580" w:lineRule="exact"/>
        <w:ind w:firstLine="640"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1.教育法典总则及分则立法专家建议稿及说明。建议稿应体系完备、逻辑完整、详略得当。应包括：试拟条文（语言精练、准确，符合《立法技术规范》）。逐条释义（解释条文的必要性、法律依据或法理依据、参考来源以及核心含义、适用范围、规范目的等）。立法说明应从整体说明立法的必要性、重要意义、立法过程以及主要任务。</w:t>
      </w:r>
    </w:p>
    <w:p w14:paraId="28736565">
      <w:pPr>
        <w:spacing w:line="580" w:lineRule="exact"/>
        <w:ind w:firstLine="640"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2.调研报告/专项报告。针对特定教育法律问题的实证研究报告，要求：坚持问题导向，数据来源翔实可靠。剖析问题精准深刻，避免泛泛而谈。提出的对策建议应当具体、务实，具有较强的立法参考价值和可操作性。</w:t>
      </w:r>
    </w:p>
    <w:p w14:paraId="5B1A1248">
      <w:pPr>
        <w:spacing w:line="580" w:lineRule="exact"/>
        <w:ind w:firstLine="640"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3.教育法基本概念法律释义。针对教育法典中拟使用的核心术语进行规范化界定。要求：对教育法相关核心概念进行法律层面的界定。梳理概念在现有法律体系中的演变，分析其在法典语境下应有的规范含义。</w:t>
      </w:r>
    </w:p>
    <w:p w14:paraId="2DC54426">
      <w:pPr>
        <w:numPr>
          <w:ilvl w:val="0"/>
          <w:numId w:val="2"/>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教育法学学科体系建设研究（重大）</w:t>
      </w:r>
    </w:p>
    <w:p w14:paraId="117E79C9">
      <w:pPr>
        <w:numPr>
          <w:ilvl w:val="0"/>
          <w:numId w:val="4"/>
        </w:numPr>
        <w:spacing w:line="580" w:lineRule="exact"/>
        <w:ind w:left="840" w:leftChars="0" w:hanging="420" w:firstLineChars="0"/>
        <w:outlineLvl w:val="1"/>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lang w:val="en-US" w:eastAsia="zh-CN"/>
        </w:rPr>
        <w:t>指南意图</w:t>
      </w:r>
      <w:r>
        <w:rPr>
          <w:rFonts w:hint="eastAsia" w:ascii="Times New Roman" w:hAnsi="仿宋_GB2312" w:eastAsia="仿宋_GB2312" w:cs="仿宋_GB2312"/>
          <w:b/>
          <w:bCs/>
          <w:color w:val="auto"/>
          <w:sz w:val="32"/>
          <w:szCs w:val="40"/>
          <w:highlight w:val="none"/>
        </w:rPr>
        <w:t>：</w:t>
      </w:r>
    </w:p>
    <w:p w14:paraId="35FD6E93">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1.教育法学学科体系建设的基础理论</w:t>
      </w:r>
    </w:p>
    <w:p w14:paraId="38B27E8E">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主要任务：厘定教育法学学科建设的理论体系</w:t>
      </w:r>
      <w:r>
        <w:rPr>
          <w:rFonts w:hint="eastAsia" w:ascii="Times New Roman" w:hAnsi="仿宋_GB2312" w:eastAsia="仿宋_GB2312" w:cs="仿宋_GB2312"/>
          <w:b w:val="0"/>
          <w:bCs w:val="0"/>
          <w:color w:val="auto"/>
          <w:sz w:val="32"/>
          <w:szCs w:val="40"/>
          <w:highlight w:val="none"/>
          <w:lang w:eastAsia="zh-CN"/>
        </w:rPr>
        <w:t>。</w:t>
      </w:r>
    </w:p>
    <w:p w14:paraId="087EBF3B">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系统梳理教育法学学科体系建设的历史脉络与现状研判</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研究教育法学学科体系建设的理论与现实依据</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研究教育法学的学科基本范畴界定。</w:t>
      </w:r>
    </w:p>
    <w:p w14:paraId="125950DA">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2.世界主要国家教育法学研究现状</w:t>
      </w:r>
    </w:p>
    <w:p w14:paraId="03A84226">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主要任务：系统梳理世界主要国家教育法学的发展历程、学科定位。揭示教育法学学科建设的共性规律与差异化特征，为构建中国自主的教育法学学科体系、学术体系和话语体系提供国际经验与参照坐标。</w:t>
      </w:r>
    </w:p>
    <w:p w14:paraId="7A1EF728">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具体方向：教育法学的学科属性与定位的比较</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教育法学专业人才培养模式与课程体系比较</w:t>
      </w:r>
      <w:r>
        <w:rPr>
          <w:rFonts w:hint="eastAsia" w:ascii="Times New Roman" w:hAnsi="仿宋_GB2312" w:eastAsia="仿宋_GB2312" w:cs="仿宋_GB2312"/>
          <w:b w:val="0"/>
          <w:bCs w:val="0"/>
          <w:color w:val="auto"/>
          <w:sz w:val="32"/>
          <w:szCs w:val="40"/>
          <w:highlight w:val="none"/>
          <w:lang w:eastAsia="zh-CN"/>
        </w:rPr>
        <w:t>；</w:t>
      </w:r>
      <w:r>
        <w:rPr>
          <w:rFonts w:ascii="Times New Roman" w:hAnsi="仿宋_GB2312" w:eastAsia="仿宋_GB2312" w:cs="仿宋_GB2312"/>
          <w:b w:val="0"/>
          <w:bCs w:val="0"/>
          <w:color w:val="auto"/>
          <w:sz w:val="32"/>
          <w:szCs w:val="40"/>
          <w:highlight w:val="none"/>
        </w:rPr>
        <w:t>教育法学学术组织</w:t>
      </w:r>
      <w:r>
        <w:rPr>
          <w:rFonts w:hint="eastAsia" w:ascii="Times New Roman" w:hAnsi="仿宋_GB2312" w:eastAsia="仿宋_GB2312" w:cs="仿宋_GB2312"/>
          <w:b w:val="0"/>
          <w:bCs w:val="0"/>
          <w:color w:val="auto"/>
          <w:sz w:val="32"/>
          <w:szCs w:val="40"/>
          <w:highlight w:val="none"/>
        </w:rPr>
        <w:t>、学术期刊、研究机构</w:t>
      </w:r>
      <w:r>
        <w:rPr>
          <w:rFonts w:ascii="Times New Roman" w:hAnsi="仿宋_GB2312" w:eastAsia="仿宋_GB2312" w:cs="仿宋_GB2312"/>
          <w:b w:val="0"/>
          <w:bCs w:val="0"/>
          <w:color w:val="auto"/>
          <w:sz w:val="32"/>
          <w:szCs w:val="40"/>
          <w:highlight w:val="none"/>
        </w:rPr>
        <w:t>建设</w:t>
      </w:r>
      <w:r>
        <w:rPr>
          <w:rFonts w:hint="eastAsia" w:ascii="Times New Roman" w:hAnsi="仿宋_GB2312" w:eastAsia="仿宋_GB2312" w:cs="仿宋_GB2312"/>
          <w:b w:val="0"/>
          <w:bCs w:val="0"/>
          <w:color w:val="auto"/>
          <w:sz w:val="32"/>
          <w:szCs w:val="40"/>
          <w:highlight w:val="none"/>
        </w:rPr>
        <w:t>比较</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教育法学研究范式与方法论比较</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国际教育法学研究的前沿热点与演进趋势。</w:t>
      </w:r>
    </w:p>
    <w:p w14:paraId="4967948D">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3.教育法学学科的核心理论体系构建</w:t>
      </w:r>
    </w:p>
    <w:p w14:paraId="148390C8">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主要任务：厘定教育法学学科的理论体系</w:t>
      </w:r>
      <w:r>
        <w:rPr>
          <w:rFonts w:hint="eastAsia" w:ascii="Times New Roman" w:hAnsi="仿宋_GB2312" w:eastAsia="仿宋_GB2312" w:cs="仿宋_GB2312"/>
          <w:b w:val="0"/>
          <w:bCs w:val="0"/>
          <w:color w:val="auto"/>
          <w:sz w:val="32"/>
          <w:szCs w:val="40"/>
          <w:highlight w:val="none"/>
          <w:lang w:eastAsia="zh-CN"/>
        </w:rPr>
        <w:t>。</w:t>
      </w:r>
    </w:p>
    <w:p w14:paraId="0E109456">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具体方向：研究</w:t>
      </w:r>
      <w:r>
        <w:rPr>
          <w:rFonts w:ascii="Times New Roman" w:hAnsi="仿宋_GB2312" w:eastAsia="仿宋_GB2312" w:cs="仿宋_GB2312"/>
          <w:b w:val="0"/>
          <w:bCs w:val="0"/>
          <w:color w:val="auto"/>
          <w:sz w:val="32"/>
          <w:szCs w:val="40"/>
          <w:highlight w:val="none"/>
        </w:rPr>
        <w:t>教育法学的核心概念体系</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研究教育法学的总论和分论包含哪些内容</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研究教育法学的方法论体系。</w:t>
      </w:r>
    </w:p>
    <w:p w14:paraId="629E1BFE">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4.教育法学学科的课程体系与教材体系建设</w:t>
      </w:r>
    </w:p>
    <w:p w14:paraId="54291C95">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主要任务：明确教育法学学科的课程体系与相关教材</w:t>
      </w:r>
      <w:r>
        <w:rPr>
          <w:rFonts w:hint="eastAsia" w:ascii="Times New Roman" w:hAnsi="仿宋_GB2312" w:eastAsia="仿宋_GB2312" w:cs="仿宋_GB2312"/>
          <w:b w:val="0"/>
          <w:bCs w:val="0"/>
          <w:color w:val="auto"/>
          <w:sz w:val="32"/>
          <w:szCs w:val="40"/>
          <w:highlight w:val="none"/>
          <w:lang w:eastAsia="zh-CN"/>
        </w:rPr>
        <w:t>。</w:t>
      </w:r>
    </w:p>
    <w:p w14:paraId="10834DA9">
      <w:pPr>
        <w:spacing w:line="580" w:lineRule="exact"/>
        <w:ind w:firstLine="640" w:firstLineChars="200"/>
        <w:rPr>
          <w:rFonts w:ascii="Times New Roman" w:hAnsi="仿宋_GB2312" w:eastAsia="仿宋_GB2312" w:cs="仿宋_GB2312"/>
          <w:b w:val="0"/>
          <w:bCs w:val="0"/>
          <w:color w:val="auto"/>
          <w:sz w:val="32"/>
          <w:szCs w:val="40"/>
          <w:highlight w:val="none"/>
        </w:rPr>
      </w:pPr>
      <w:r>
        <w:rPr>
          <w:rFonts w:hint="eastAsia" w:ascii="Times New Roman" w:hAnsi="仿宋_GB2312" w:eastAsia="仿宋_GB2312" w:cs="仿宋_GB2312"/>
          <w:b w:val="0"/>
          <w:bCs w:val="0"/>
          <w:color w:val="auto"/>
          <w:sz w:val="32"/>
          <w:szCs w:val="40"/>
          <w:highlight w:val="none"/>
        </w:rPr>
        <w:t>具体方向：研究教育法学本科阶段、研究生阶段的整体课程建设方案</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研究教育法学核心教材的编写与完善的路径。</w:t>
      </w:r>
    </w:p>
    <w:p w14:paraId="19ABC94E">
      <w:pPr>
        <w:spacing w:line="580" w:lineRule="exact"/>
        <w:ind w:firstLine="643" w:firstLineChars="200"/>
        <w:outlineLvl w:val="2"/>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rPr>
        <w:t>5.教育法学学科体系建设的保障体系</w:t>
      </w:r>
    </w:p>
    <w:p w14:paraId="0A36F301">
      <w:pPr>
        <w:spacing w:line="580" w:lineRule="exact"/>
        <w:ind w:firstLine="640" w:firstLineChars="200"/>
        <w:rPr>
          <w:rFonts w:hint="eastAsia" w:ascii="Times New Roman" w:hAnsi="仿宋_GB2312" w:eastAsia="仿宋_GB2312" w:cs="仿宋_GB2312"/>
          <w:b w:val="0"/>
          <w:bCs w:val="0"/>
          <w:color w:val="auto"/>
          <w:sz w:val="32"/>
          <w:szCs w:val="40"/>
          <w:highlight w:val="none"/>
          <w:lang w:eastAsia="zh-CN"/>
        </w:rPr>
      </w:pPr>
      <w:r>
        <w:rPr>
          <w:rFonts w:hint="eastAsia" w:ascii="Times New Roman" w:hAnsi="仿宋_GB2312" w:eastAsia="仿宋_GB2312" w:cs="仿宋_GB2312"/>
          <w:b w:val="0"/>
          <w:bCs w:val="0"/>
          <w:color w:val="auto"/>
          <w:sz w:val="32"/>
          <w:szCs w:val="40"/>
          <w:highlight w:val="none"/>
        </w:rPr>
        <w:t>主要任务：提出保障教育法学学科体系落地实施的政策建议</w:t>
      </w:r>
      <w:r>
        <w:rPr>
          <w:rFonts w:hint="eastAsia" w:ascii="Times New Roman" w:hAnsi="仿宋_GB2312" w:eastAsia="仿宋_GB2312" w:cs="仿宋_GB2312"/>
          <w:b w:val="0"/>
          <w:bCs w:val="0"/>
          <w:color w:val="auto"/>
          <w:sz w:val="32"/>
          <w:szCs w:val="40"/>
          <w:highlight w:val="none"/>
          <w:lang w:eastAsia="zh-CN"/>
        </w:rPr>
        <w:t>。</w:t>
      </w:r>
    </w:p>
    <w:p w14:paraId="23B0DDDC">
      <w:pPr>
        <w:spacing w:line="580" w:lineRule="exact"/>
        <w:ind w:firstLine="640" w:firstLineChars="200"/>
        <w:rPr>
          <w:rFonts w:hint="eastAsia" w:ascii="Times New Roman" w:hAnsi="仿宋_GB2312" w:eastAsia="仿宋_GB2312" w:cs="仿宋_GB2312"/>
          <w:b w:val="0"/>
          <w:bCs w:val="0"/>
          <w:color w:val="auto"/>
          <w:sz w:val="32"/>
          <w:szCs w:val="40"/>
          <w:highlight w:val="none"/>
          <w:lang w:val="en-US" w:eastAsia="zh-CN"/>
        </w:rPr>
      </w:pPr>
      <w:r>
        <w:rPr>
          <w:rFonts w:hint="eastAsia" w:ascii="Times New Roman" w:hAnsi="仿宋_GB2312" w:eastAsia="仿宋_GB2312" w:cs="仿宋_GB2312"/>
          <w:b w:val="0"/>
          <w:bCs w:val="0"/>
          <w:color w:val="auto"/>
          <w:sz w:val="32"/>
          <w:szCs w:val="40"/>
          <w:highlight w:val="none"/>
        </w:rPr>
        <w:t>具体方向：研究教育法学学科师资队伍建设方案</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研究教育法学学科人才培养方案</w:t>
      </w:r>
      <w:r>
        <w:rPr>
          <w:rFonts w:hint="eastAsia" w:ascii="Times New Roman" w:hAnsi="仿宋_GB2312" w:eastAsia="仿宋_GB2312" w:cs="仿宋_GB2312"/>
          <w:b w:val="0"/>
          <w:bCs w:val="0"/>
          <w:color w:val="auto"/>
          <w:sz w:val="32"/>
          <w:szCs w:val="40"/>
          <w:highlight w:val="none"/>
          <w:lang w:eastAsia="zh-CN"/>
        </w:rPr>
        <w:t>；</w:t>
      </w:r>
      <w:r>
        <w:rPr>
          <w:rFonts w:hint="eastAsia" w:ascii="Times New Roman" w:hAnsi="仿宋_GB2312" w:eastAsia="仿宋_GB2312" w:cs="仿宋_GB2312"/>
          <w:b w:val="0"/>
          <w:bCs w:val="0"/>
          <w:color w:val="auto"/>
          <w:sz w:val="32"/>
          <w:szCs w:val="40"/>
          <w:highlight w:val="none"/>
        </w:rPr>
        <w:t>研究教育法学学科建设的制度与机制保障</w:t>
      </w:r>
      <w:r>
        <w:rPr>
          <w:rFonts w:hint="eastAsia" w:ascii="Times New Roman" w:hAnsi="仿宋_GB2312" w:eastAsia="仿宋_GB2312" w:cs="仿宋_GB2312"/>
          <w:b w:val="0"/>
          <w:bCs w:val="0"/>
          <w:color w:val="auto"/>
          <w:sz w:val="32"/>
          <w:szCs w:val="40"/>
          <w:highlight w:val="none"/>
          <w:lang w:eastAsia="zh-CN"/>
        </w:rPr>
        <w:t>。</w:t>
      </w:r>
    </w:p>
    <w:p w14:paraId="53ED1D6A">
      <w:pPr>
        <w:numPr>
          <w:ilvl w:val="0"/>
          <w:numId w:val="4"/>
        </w:numPr>
        <w:spacing w:line="580" w:lineRule="exact"/>
        <w:ind w:left="840" w:leftChars="0" w:hanging="420" w:firstLineChars="0"/>
        <w:outlineLvl w:val="1"/>
        <w:rPr>
          <w:rFonts w:hint="eastAsia" w:ascii="Times New Roman" w:hAnsi="仿宋_GB2312" w:eastAsia="仿宋_GB2312" w:cs="仿宋_GB2312"/>
          <w:b/>
          <w:bCs/>
          <w:color w:val="auto"/>
          <w:sz w:val="32"/>
          <w:szCs w:val="40"/>
          <w:highlight w:val="none"/>
          <w:lang w:val="en-US" w:eastAsia="zh-CN"/>
        </w:rPr>
      </w:pPr>
      <w:r>
        <w:rPr>
          <w:rFonts w:hint="eastAsia" w:ascii="Times New Roman" w:hAnsi="仿宋_GB2312" w:eastAsia="仿宋_GB2312" w:cs="仿宋_GB2312"/>
          <w:b/>
          <w:bCs/>
          <w:color w:val="auto"/>
          <w:sz w:val="32"/>
          <w:szCs w:val="40"/>
          <w:highlight w:val="none"/>
          <w:lang w:val="en-US" w:eastAsia="zh-CN"/>
        </w:rPr>
        <w:t>成果形式：</w:t>
      </w:r>
    </w:p>
    <w:p w14:paraId="29E8B29F">
      <w:pPr>
        <w:spacing w:line="580" w:lineRule="exact"/>
        <w:ind w:firstLine="640" w:firstLineChars="200"/>
        <w:rPr>
          <w:rFonts w:ascii="Times New Roman" w:hAnsi="仿宋" w:eastAsia="仿宋_GB2312" w:cs="仿宋"/>
          <w:color w:val="auto"/>
          <w:sz w:val="32"/>
          <w:szCs w:val="40"/>
          <w:highlight w:val="none"/>
        </w:rPr>
      </w:pPr>
      <w:r>
        <w:rPr>
          <w:rFonts w:hint="eastAsia" w:ascii="Times New Roman" w:hAnsi="仿宋" w:eastAsia="仿宋_GB2312" w:cs="仿宋"/>
          <w:color w:val="auto"/>
          <w:sz w:val="32"/>
          <w:szCs w:val="40"/>
          <w:highlight w:val="none"/>
        </w:rPr>
        <w:t>1.决策咨询报告：针对教育法学学科建设中相关问题形成决策咨询报告，供政府部门参考。</w:t>
      </w:r>
    </w:p>
    <w:p w14:paraId="5AD8E08A">
      <w:pPr>
        <w:spacing w:line="580" w:lineRule="exact"/>
        <w:ind w:firstLine="640" w:firstLineChars="200"/>
        <w:rPr>
          <w:rFonts w:ascii="Times New Roman" w:hAnsi="仿宋" w:eastAsia="仿宋_GB2312" w:cs="仿宋"/>
          <w:color w:val="auto"/>
          <w:sz w:val="32"/>
          <w:szCs w:val="40"/>
          <w:highlight w:val="none"/>
        </w:rPr>
      </w:pPr>
      <w:r>
        <w:rPr>
          <w:rFonts w:hint="eastAsia" w:ascii="Times New Roman" w:hAnsi="仿宋" w:eastAsia="仿宋_GB2312" w:cs="仿宋"/>
          <w:color w:val="auto"/>
          <w:sz w:val="32"/>
          <w:szCs w:val="40"/>
          <w:highlight w:val="none"/>
        </w:rPr>
        <w:t>2.专题报告：针对教育法学学科体系建设的理论基础、教育法学的理论基础等形成专题报告。</w:t>
      </w:r>
    </w:p>
    <w:p w14:paraId="107A135A">
      <w:pPr>
        <w:spacing w:line="580" w:lineRule="exact"/>
        <w:ind w:firstLine="640" w:firstLineChars="200"/>
        <w:rPr>
          <w:rFonts w:ascii="Times New Roman" w:hAnsi="仿宋" w:eastAsia="仿宋_GB2312" w:cs="仿宋"/>
          <w:color w:val="auto"/>
          <w:sz w:val="32"/>
          <w:szCs w:val="40"/>
          <w:highlight w:val="none"/>
        </w:rPr>
      </w:pPr>
      <w:r>
        <w:rPr>
          <w:rFonts w:hint="eastAsia" w:ascii="Times New Roman" w:hAnsi="仿宋" w:eastAsia="仿宋_GB2312" w:cs="仿宋"/>
          <w:color w:val="auto"/>
          <w:sz w:val="32"/>
          <w:szCs w:val="40"/>
          <w:highlight w:val="none"/>
        </w:rPr>
        <w:t>3.教育法学核心教材纲要：根据研究成果形成各学段教育法学核心教材主要内容。</w:t>
      </w:r>
    </w:p>
    <w:p w14:paraId="621C2665">
      <w:pPr>
        <w:numPr>
          <w:ilvl w:val="0"/>
          <w:numId w:val="1"/>
        </w:numPr>
        <w:spacing w:before="156" w:beforeLines="50" w:after="156" w:afterLines="50" w:line="580" w:lineRule="exact"/>
        <w:ind w:firstLine="640" w:firstLineChars="200"/>
        <w:rPr>
          <w:rFonts w:ascii="Times New Roman" w:hAnsi="黑体" w:eastAsia="黑体" w:cs="黑体"/>
          <w:color w:val="auto"/>
          <w:sz w:val="32"/>
          <w:szCs w:val="40"/>
          <w:highlight w:val="none"/>
        </w:rPr>
      </w:pPr>
      <w:r>
        <w:rPr>
          <w:rFonts w:hint="eastAsia" w:ascii="Times New Roman" w:hAnsi="黑体" w:eastAsia="黑体" w:cs="黑体"/>
          <w:color w:val="auto"/>
          <w:sz w:val="32"/>
          <w:szCs w:val="40"/>
          <w:highlight w:val="none"/>
        </w:rPr>
        <w:t>重点项目</w:t>
      </w:r>
    </w:p>
    <w:p w14:paraId="4746CB17">
      <w:pPr>
        <w:numPr>
          <w:ilvl w:val="0"/>
          <w:numId w:val="5"/>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校园安全立法研究（重点）</w:t>
      </w:r>
    </w:p>
    <w:p w14:paraId="5AC0B1A1">
      <w:pPr>
        <w:numPr>
          <w:ilvl w:val="0"/>
          <w:numId w:val="4"/>
        </w:numPr>
        <w:spacing w:line="580" w:lineRule="exact"/>
        <w:ind w:left="840" w:leftChars="0" w:hanging="420" w:firstLineChars="0"/>
        <w:outlineLvl w:val="1"/>
        <w:rPr>
          <w:rFonts w:hint="eastAsia" w:ascii="Times New Roman" w:hAnsi="仿宋_GB2312" w:eastAsia="仿宋_GB2312" w:cs="仿宋_GB2312"/>
          <w:b/>
          <w:bCs/>
          <w:color w:val="auto"/>
          <w:sz w:val="32"/>
          <w:szCs w:val="40"/>
          <w:highlight w:val="none"/>
          <w:lang w:val="en-US" w:eastAsia="zh-CN"/>
        </w:rPr>
      </w:pPr>
      <w:r>
        <w:rPr>
          <w:rFonts w:hint="eastAsia" w:ascii="Times New Roman" w:hAnsi="仿宋_GB2312" w:eastAsia="仿宋_GB2312" w:cs="仿宋_GB2312"/>
          <w:b/>
          <w:bCs/>
          <w:color w:val="auto"/>
          <w:sz w:val="32"/>
          <w:szCs w:val="40"/>
          <w:highlight w:val="none"/>
          <w:lang w:val="en-US" w:eastAsia="zh-CN"/>
        </w:rPr>
        <w:t>指南意图：</w:t>
      </w:r>
    </w:p>
    <w:p w14:paraId="46450C05">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sz w:val="32"/>
          <w:szCs w:val="40"/>
          <w:highlight w:val="none"/>
          <w:lang w:val="en-US" w:eastAsia="zh-CN"/>
        </w:rPr>
        <w:t>1.</w:t>
      </w:r>
      <w:r>
        <w:rPr>
          <w:rFonts w:hint="eastAsia" w:ascii="Times New Roman" w:hAnsi="仿宋_GB2312" w:eastAsia="仿宋_GB2312" w:cs="仿宋_GB2312"/>
          <w:b/>
          <w:bCs/>
          <w:color w:val="auto"/>
          <w:sz w:val="32"/>
          <w:szCs w:val="40"/>
          <w:highlight w:val="none"/>
        </w:rPr>
        <w:t>我国校园安全法律制度现状与问题研究</w:t>
      </w:r>
    </w:p>
    <w:p w14:paraId="28BB8767">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b w:val="0"/>
          <w:bCs w:val="0"/>
          <w:color w:val="auto"/>
          <w:sz w:val="32"/>
          <w:szCs w:val="40"/>
          <w:highlight w:val="none"/>
        </w:rPr>
        <w:t>任务：</w:t>
      </w:r>
      <w:r>
        <w:rPr>
          <w:rFonts w:hint="eastAsia" w:ascii="Times New Roman" w:hAnsi="仿宋_GB2312" w:eastAsia="仿宋_GB2312" w:cs="仿宋_GB2312"/>
          <w:color w:val="auto"/>
          <w:sz w:val="32"/>
          <w:szCs w:val="40"/>
          <w:highlight w:val="none"/>
        </w:rPr>
        <w:t>立足我国校园安全现状，系统诊断校园安全法律制度存在的问题，评估立法必要性。</w:t>
      </w:r>
    </w:p>
    <w:p w14:paraId="7679B035">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对校园安全法律规范体系的现状与存在的问题进行研究，包括核心安全领域的制度覆盖缺口、关键领域制度空白与滞后性评估等领域。</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对地方校园安全立法的现状与存在的问题进行研究。</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完善校园安全立法的必要性与可行性研究。</w:t>
      </w:r>
    </w:p>
    <w:p w14:paraId="518366FC">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2.</w:t>
      </w:r>
      <w:r>
        <w:rPr>
          <w:rFonts w:hint="eastAsia" w:ascii="Times New Roman" w:hAnsi="仿宋_GB2312" w:eastAsia="仿宋_GB2312" w:cs="仿宋_GB2312"/>
          <w:b/>
          <w:bCs/>
          <w:color w:val="auto"/>
          <w:sz w:val="32"/>
          <w:szCs w:val="40"/>
          <w:highlight w:val="none"/>
        </w:rPr>
        <w:t>域外校园安全立法比较研究</w:t>
      </w:r>
    </w:p>
    <w:p w14:paraId="5089C3F0">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color w:val="auto"/>
          <w:sz w:val="32"/>
          <w:szCs w:val="40"/>
          <w:highlight w:val="none"/>
        </w:rPr>
        <w:t>任务：借鉴域外校园安全立法的优势经验和做法。</w:t>
      </w:r>
    </w:p>
    <w:p w14:paraId="57027BAB">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域外校园安全立法模式的分类与比较研究。</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域外校园安全法律制度的内容与运行机制比较研究。</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域外校园安全立法的经验总结。</w:t>
      </w:r>
    </w:p>
    <w:p w14:paraId="34F48507">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3.</w:t>
      </w:r>
      <w:r>
        <w:rPr>
          <w:rFonts w:hint="eastAsia" w:ascii="Times New Roman" w:hAnsi="仿宋_GB2312" w:eastAsia="仿宋_GB2312" w:cs="仿宋_GB2312"/>
          <w:b/>
          <w:bCs/>
          <w:color w:val="auto"/>
          <w:sz w:val="32"/>
          <w:szCs w:val="40"/>
          <w:highlight w:val="none"/>
        </w:rPr>
        <w:t>校园安全立法的核心范畴与基本原则研究</w:t>
      </w:r>
    </w:p>
    <w:p w14:paraId="48DF37C8">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color w:val="auto"/>
          <w:sz w:val="32"/>
          <w:szCs w:val="40"/>
          <w:highlight w:val="none"/>
        </w:rPr>
        <w:t>任务：精准界定校园安全立法的核心范畴与法律内涵，确定立法核心基准。</w:t>
      </w:r>
    </w:p>
    <w:p w14:paraId="146D3E4D">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“校园安全”的法律内涵界定</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校园安全立法应遵循的基本原则</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校园安全立法的路径与体例。</w:t>
      </w:r>
    </w:p>
    <w:p w14:paraId="21717ADF">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4.</w:t>
      </w:r>
      <w:r>
        <w:rPr>
          <w:rFonts w:hint="eastAsia" w:ascii="Times New Roman" w:hAnsi="仿宋_GB2312" w:eastAsia="仿宋_GB2312" w:cs="仿宋_GB2312"/>
          <w:b/>
          <w:bCs/>
          <w:color w:val="auto"/>
          <w:sz w:val="32"/>
          <w:szCs w:val="40"/>
          <w:highlight w:val="none"/>
        </w:rPr>
        <w:t>校园安全责任主体协同治理机制研究</w:t>
      </w:r>
    </w:p>
    <w:p w14:paraId="7DC3EAE8">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color w:val="auto"/>
          <w:sz w:val="32"/>
          <w:szCs w:val="40"/>
          <w:highlight w:val="none"/>
        </w:rPr>
        <w:t>任务：明确校园安全责任主体的范畴与边界，厘清不同主体的责任表现形式与划分标准，构建权责清晰、运行高效的协同治理机制，并探索其效能评估与优化路径。</w:t>
      </w:r>
    </w:p>
    <w:p w14:paraId="1DD0DD20">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校园安全责任主体的法律界定与范畴划分研究，不同责任主体的安全责任表现形式与内容研究。</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校园安全责任划分标准与权责边界厘清研究，校园安全多主体协同治理机制的设计与落地路径研究，研究针对协同治理效能的评估与优化机制。</w:t>
      </w:r>
    </w:p>
    <w:p w14:paraId="57F161A3">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5.</w:t>
      </w:r>
      <w:r>
        <w:rPr>
          <w:rFonts w:hint="eastAsia" w:ascii="Times New Roman" w:hAnsi="仿宋_GB2312" w:eastAsia="仿宋_GB2312" w:cs="仿宋_GB2312"/>
          <w:b/>
          <w:bCs/>
          <w:color w:val="auto"/>
          <w:sz w:val="32"/>
          <w:szCs w:val="40"/>
          <w:highlight w:val="none"/>
        </w:rPr>
        <w:t>校园安全重点领域制度研究</w:t>
      </w:r>
    </w:p>
    <w:p w14:paraId="32537146">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color w:val="auto"/>
          <w:sz w:val="32"/>
          <w:szCs w:val="40"/>
          <w:highlight w:val="none"/>
        </w:rPr>
        <w:t>任务：聚焦校园人身安全等关键领域及特殊场景、特殊群体保护需求，健全校园安全保险配套机制。</w:t>
      </w:r>
    </w:p>
    <w:p w14:paraId="09142979">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校园安全整体性立法研究。</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校园人身安全、环境安全、管理安全、特殊保护（特殊场景、特殊群体等）等细分领域小切口立法研究。</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校园安全综合险立法研究。</w:t>
      </w:r>
    </w:p>
    <w:p w14:paraId="74AFA227">
      <w:pPr>
        <w:numPr>
          <w:ilvl w:val="0"/>
          <w:numId w:val="0"/>
        </w:numPr>
        <w:spacing w:line="580" w:lineRule="exact"/>
        <w:ind w:firstLine="643" w:firstLineChars="200"/>
        <w:rPr>
          <w:rFonts w:hint="eastAsia" w:ascii="Times New Roman" w:hAnsi="仿宋_GB2312" w:eastAsia="仿宋_GB2312" w:cs="仿宋_GB2312"/>
          <w:b/>
          <w:bCs/>
          <w:color w:val="auto"/>
          <w:sz w:val="32"/>
          <w:szCs w:val="40"/>
          <w:highlight w:val="none"/>
        </w:rPr>
      </w:pPr>
      <w:r>
        <w:rPr>
          <w:rFonts w:hint="eastAsia" w:ascii="Times New Roman" w:hAnsi="仿宋_GB2312" w:eastAsia="仿宋_GB2312" w:cs="仿宋_GB2312"/>
          <w:b/>
          <w:bCs/>
          <w:color w:val="auto"/>
          <w:kern w:val="2"/>
          <w:sz w:val="32"/>
          <w:szCs w:val="40"/>
          <w:lang w:val="en-US" w:eastAsia="zh-CN" w:bidi="ar-SA"/>
        </w:rPr>
        <w:t>6.</w:t>
      </w:r>
      <w:r>
        <w:rPr>
          <w:rFonts w:hint="eastAsia" w:ascii="Times New Roman" w:hAnsi="仿宋_GB2312" w:eastAsia="仿宋_GB2312" w:cs="仿宋_GB2312"/>
          <w:b/>
          <w:bCs/>
          <w:color w:val="auto"/>
          <w:sz w:val="32"/>
          <w:szCs w:val="40"/>
          <w:highlight w:val="none"/>
        </w:rPr>
        <w:t>校园安全法律责任与救济机制研究</w:t>
      </w:r>
    </w:p>
    <w:p w14:paraId="3F69E447">
      <w:pPr>
        <w:numPr>
          <w:ilvl w:val="0"/>
          <w:numId w:val="0"/>
        </w:numPr>
        <w:spacing w:line="580" w:lineRule="exact"/>
        <w:ind w:firstLine="640" w:firstLineChars="200"/>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b w:val="0"/>
          <w:bCs w:val="0"/>
          <w:color w:val="auto"/>
          <w:sz w:val="32"/>
          <w:szCs w:val="40"/>
          <w:highlight w:val="none"/>
          <w:lang w:val="en-US" w:eastAsia="zh-CN"/>
        </w:rPr>
        <w:t>主要</w:t>
      </w:r>
      <w:r>
        <w:rPr>
          <w:rFonts w:hint="eastAsia" w:ascii="Times New Roman" w:hAnsi="仿宋_GB2312" w:eastAsia="仿宋_GB2312" w:cs="仿宋_GB2312"/>
          <w:b w:val="0"/>
          <w:bCs w:val="0"/>
          <w:color w:val="auto"/>
          <w:sz w:val="32"/>
          <w:szCs w:val="40"/>
          <w:highlight w:val="none"/>
        </w:rPr>
        <w:t>任务</w:t>
      </w:r>
      <w:r>
        <w:rPr>
          <w:rFonts w:hint="eastAsia" w:ascii="Times New Roman" w:hAnsi="仿宋_GB2312" w:eastAsia="仿宋_GB2312" w:cs="仿宋_GB2312"/>
          <w:color w:val="auto"/>
          <w:sz w:val="32"/>
          <w:szCs w:val="40"/>
          <w:highlight w:val="none"/>
        </w:rPr>
        <w:t>：构建清晰完备的校园安全法律责任体系，畅通多元救济渠道并强化协同效能，创新损害赔偿与风险分担模式，完善相关法治与制度配套保障。</w:t>
      </w:r>
    </w:p>
    <w:p w14:paraId="6E01929E">
      <w:pPr>
        <w:numPr>
          <w:ilvl w:val="0"/>
          <w:numId w:val="0"/>
        </w:numPr>
        <w:spacing w:line="580" w:lineRule="exact"/>
        <w:ind w:firstLine="640"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具体方向：</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针对校园安全法律责任体系的分类，以及校园安全法律责任产生和分配的法理分析。</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校园安全多元法律救济渠道与协同机制研究。</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校园安全损害赔偿与风险分担机制研究，校园安全综合险相关法律制度研究。</w:t>
      </w:r>
      <w:r>
        <w:rPr>
          <w:rFonts w:ascii="Times New Roman" w:hAnsi="仿宋_GB2312" w:eastAsia="仿宋_GB2312" w:cs="仿宋_GB2312"/>
          <w:color w:val="auto"/>
          <w:sz w:val="32"/>
          <w:szCs w:val="40"/>
          <w:highlight w:val="none"/>
        </w:rPr>
        <w:t>（4）</w:t>
      </w:r>
      <w:r>
        <w:rPr>
          <w:rFonts w:hint="eastAsia" w:ascii="Times New Roman" w:hAnsi="仿宋_GB2312" w:eastAsia="仿宋_GB2312" w:cs="仿宋_GB2312"/>
          <w:color w:val="auto"/>
          <w:sz w:val="32"/>
          <w:szCs w:val="40"/>
          <w:highlight w:val="none"/>
        </w:rPr>
        <w:t>校园安全立法配套制度的完善对策研究，包括与现行法律法规、部门规章的衔接及立法优先级分析等。</w:t>
      </w:r>
    </w:p>
    <w:p w14:paraId="7F3FB823">
      <w:pPr>
        <w:numPr>
          <w:ilvl w:val="0"/>
          <w:numId w:val="4"/>
        </w:numPr>
        <w:spacing w:line="580" w:lineRule="exact"/>
        <w:ind w:left="840" w:leftChars="0" w:hanging="420" w:firstLineChars="0"/>
        <w:outlineLvl w:val="1"/>
        <w:rPr>
          <w:rFonts w:ascii="Times New Roman" w:eastAsia="仿宋_GB2312"/>
          <w:color w:val="auto"/>
          <w:highlight w:val="none"/>
        </w:rPr>
      </w:pPr>
      <w:r>
        <w:rPr>
          <w:rFonts w:hint="eastAsia" w:ascii="Times New Roman" w:hAnsi="仿宋_GB2312" w:eastAsia="仿宋_GB2312" w:cs="仿宋_GB2312"/>
          <w:b/>
          <w:bCs/>
          <w:color w:val="auto"/>
          <w:sz w:val="32"/>
          <w:szCs w:val="40"/>
          <w:highlight w:val="none"/>
          <w:lang w:val="en-US" w:eastAsia="zh-CN"/>
        </w:rPr>
        <w:t>成果形式：</w:t>
      </w:r>
    </w:p>
    <w:p w14:paraId="4F0025F5">
      <w:pPr>
        <w:numPr>
          <w:ilvl w:val="0"/>
          <w:numId w:val="0"/>
        </w:numPr>
        <w:spacing w:line="580" w:lineRule="exact"/>
        <w:ind w:firstLine="640" w:firstLineChars="200"/>
        <w:outlineLvl w:val="1"/>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kern w:val="2"/>
          <w:sz w:val="32"/>
          <w:szCs w:val="40"/>
          <w:lang w:val="en-US" w:eastAsia="zh-CN" w:bidi="ar-SA"/>
        </w:rPr>
        <w:t>1.</w:t>
      </w:r>
      <w:r>
        <w:rPr>
          <w:rFonts w:hint="eastAsia" w:ascii="Times New Roman" w:hAnsi="仿宋_GB2312" w:eastAsia="仿宋_GB2312" w:cs="仿宋_GB2312"/>
          <w:color w:val="auto"/>
          <w:sz w:val="32"/>
          <w:szCs w:val="40"/>
          <w:highlight w:val="none"/>
        </w:rPr>
        <w:t>调研报告/专项报告。要求：坚持问题导向，数据来源翔实可靠。剖析问题精准深刻，避免泛泛而谈。提出的对策建议应当具体、务实，具有较强的立法参考价值和可操作性。</w:t>
      </w:r>
    </w:p>
    <w:p w14:paraId="5FB5C1F0">
      <w:pPr>
        <w:numPr>
          <w:ilvl w:val="0"/>
          <w:numId w:val="0"/>
        </w:numPr>
        <w:spacing w:line="580" w:lineRule="exact"/>
        <w:ind w:firstLine="640" w:firstLineChars="200"/>
        <w:outlineLvl w:val="1"/>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2.校园安全相关立法专家建议稿及立法说明。建议稿应体系完备、逻辑完整、详略得当。应包括：试拟条文（语言精练、准确，符合《立法技术规范》）。逐条释义（解释条文的必要性、法律依据或法理依据、参考来源以及核心含义、适用范围、规范目的等）。立法说明应从整体说明立法的必要性、重要意义、立法过程以及主要内容。</w:t>
      </w:r>
    </w:p>
    <w:p w14:paraId="145B8DB5">
      <w:pPr>
        <w:numPr>
          <w:ilvl w:val="0"/>
          <w:numId w:val="0"/>
        </w:numPr>
        <w:spacing w:line="580" w:lineRule="exact"/>
        <w:ind w:firstLine="640" w:firstLineChars="200"/>
        <w:outlineLvl w:val="1"/>
        <w:rPr>
          <w:rFonts w:hint="eastAsia" w:ascii="Times New Roman" w:hAnsi="仿宋_GB2312" w:eastAsia="仿宋_GB2312" w:cs="仿宋_GB2312"/>
          <w:color w:val="auto"/>
          <w:sz w:val="32"/>
          <w:szCs w:val="40"/>
          <w:highlight w:val="none"/>
        </w:rPr>
      </w:pPr>
      <w:r>
        <w:rPr>
          <w:rFonts w:hint="eastAsia" w:ascii="Times New Roman" w:hAnsi="仿宋_GB2312" w:eastAsia="仿宋_GB2312" w:cs="仿宋_GB2312"/>
          <w:color w:val="auto"/>
          <w:sz w:val="32"/>
          <w:szCs w:val="40"/>
          <w:highlight w:val="none"/>
        </w:rPr>
        <w:t>3.决策建议。要求：需突出顶层设计与立法引领性，立足统筹协调各方资源、构建长效安全保障体系，提出校园安全立法的核心框架、权责界定、条文设计等系统性制度建议，明确与现行法律法规、部门规章的衔接逻辑及立法优先级，为国家和地方校园安全立法提供直接参考。</w:t>
      </w:r>
    </w:p>
    <w:p w14:paraId="6B389FF8">
      <w:pPr>
        <w:numPr>
          <w:ilvl w:val="0"/>
          <w:numId w:val="0"/>
        </w:numPr>
        <w:spacing w:line="580" w:lineRule="exact"/>
        <w:ind w:firstLine="640" w:firstLineChars="200"/>
        <w:outlineLvl w:val="1"/>
        <w:rPr>
          <w:rFonts w:ascii="Times New Roman" w:eastAsia="仿宋_GB2312"/>
          <w:color w:val="auto"/>
          <w:highlight w:val="none"/>
        </w:rPr>
      </w:pPr>
      <w:r>
        <w:rPr>
          <w:rFonts w:hint="eastAsia" w:ascii="Times New Roman" w:hAnsi="仿宋_GB2312" w:eastAsia="仿宋_GB2312" w:cs="仿宋_GB2312"/>
          <w:color w:val="auto"/>
          <w:sz w:val="32"/>
          <w:szCs w:val="40"/>
          <w:highlight w:val="none"/>
        </w:rPr>
        <w:t>4.期刊论文。要求：紧扣核心议题、鼓励跨学科视角，论文需以权威法律法规文本、典型司法案例、实证调研数据及国内外相关研究成果等为支撑，研究结论与政策主张需凸显学术高度与理论引领性，兼顾学术深度与实践价值。</w:t>
      </w:r>
    </w:p>
    <w:p w14:paraId="5816D122">
      <w:pPr>
        <w:numPr>
          <w:ilvl w:val="0"/>
          <w:numId w:val="5"/>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国（境）外学位质量评价及认证制度研究（重点）</w:t>
      </w:r>
    </w:p>
    <w:p w14:paraId="4B496837">
      <w:pPr>
        <w:spacing w:before="156" w:beforeLines="50" w:after="156" w:afterLines="50"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调研国（境）外主要国家、地区高等教育机构资质评估、课程与教学质量评估以及学生学习成果评估体系的历史沿革与现状；（2）研究国（境）外文凭证书与同等学历学位对应规则、跨境在线教育的质量保证与文凭证书互认机制；（3）构建国（境）外学位质量评价体系，拓宽现行认证办法的外延和内涵；（4）完善我国学位认证制度和认证标准及与质量相关的评估考察标准和程序。</w:t>
      </w:r>
    </w:p>
    <w:p w14:paraId="12075E2F">
      <w:pPr>
        <w:numPr>
          <w:ilvl w:val="0"/>
          <w:numId w:val="5"/>
        </w:numPr>
        <w:spacing w:line="580" w:lineRule="exact"/>
        <w:ind w:firstLine="643" w:firstLineChars="200"/>
        <w:outlineLvl w:val="0"/>
        <w:rPr>
          <w:rFonts w:ascii="Times New Roman" w:hAnsi="楷体" w:eastAsia="楷体_GB2312" w:cs="楷体"/>
          <w:b/>
          <w:bCs/>
          <w:color w:val="auto"/>
          <w:sz w:val="32"/>
          <w:szCs w:val="40"/>
          <w:highlight w:val="none"/>
        </w:rPr>
      </w:pPr>
      <w:r>
        <w:rPr>
          <w:rFonts w:ascii="Times New Roman" w:hAnsi="楷体" w:eastAsia="楷体_GB2312" w:cs="楷体"/>
          <w:b/>
          <w:bCs/>
          <w:color w:val="auto"/>
          <w:sz w:val="32"/>
          <w:szCs w:val="40"/>
          <w:highlight w:val="none"/>
        </w:rPr>
        <w:t>国（境）外学历学位认证标准体系优化研究</w:t>
      </w:r>
      <w:r>
        <w:rPr>
          <w:rFonts w:hint="eastAsia" w:ascii="Times New Roman" w:hAnsi="楷体" w:eastAsia="楷体_GB2312" w:cs="楷体"/>
          <w:b/>
          <w:bCs/>
          <w:color w:val="auto"/>
          <w:sz w:val="32"/>
          <w:szCs w:val="40"/>
          <w:highlight w:val="none"/>
        </w:rPr>
        <w:t>（重点）</w:t>
      </w:r>
    </w:p>
    <w:p w14:paraId="0C47C2DB">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梳理国（境）外学历学位认证服务的上位政策与法理基础；（2）分析现行国（境）外学历学位认证标准体系的职能发挥情况和局限性；（3）探索国（境）外学历学位认证标准体系优化路径；（4）形成《国（境）外学历学位认证办法》具体修订方案。</w:t>
      </w:r>
    </w:p>
    <w:p w14:paraId="671C9DAF">
      <w:pPr>
        <w:numPr>
          <w:ilvl w:val="0"/>
          <w:numId w:val="1"/>
        </w:numPr>
        <w:spacing w:before="156" w:beforeLines="50" w:after="156" w:afterLines="50" w:line="580" w:lineRule="exact"/>
        <w:ind w:firstLine="643" w:firstLineChars="200"/>
        <w:rPr>
          <w:rFonts w:ascii="Times New Roman" w:hAnsi="黑体" w:eastAsia="黑体" w:cs="黑体"/>
          <w:b/>
          <w:bCs/>
          <w:color w:val="auto"/>
          <w:sz w:val="32"/>
          <w:szCs w:val="32"/>
          <w:highlight w:val="none"/>
        </w:rPr>
      </w:pPr>
      <w:r>
        <w:rPr>
          <w:rFonts w:hint="eastAsia" w:ascii="Times New Roman" w:hAnsi="黑体" w:eastAsia="黑体" w:cs="黑体"/>
          <w:b/>
          <w:bCs/>
          <w:color w:val="auto"/>
          <w:sz w:val="32"/>
          <w:szCs w:val="32"/>
          <w:highlight w:val="none"/>
        </w:rPr>
        <w:t>一般项目</w:t>
      </w:r>
    </w:p>
    <w:p w14:paraId="17E472E8">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ascii="Times New Roman" w:hAnsi="楷体" w:eastAsia="楷体_GB2312" w:cs="楷体"/>
          <w:b/>
          <w:bCs/>
          <w:color w:val="auto"/>
          <w:sz w:val="32"/>
          <w:szCs w:val="40"/>
          <w:highlight w:val="none"/>
        </w:rPr>
        <w:t>中国教育法制史研究（</w:t>
      </w:r>
      <w:r>
        <w:rPr>
          <w:rFonts w:hint="eastAsia" w:ascii="Times New Roman" w:hAnsi="楷体" w:eastAsia="楷体_GB2312" w:cs="楷体"/>
          <w:b/>
          <w:bCs/>
          <w:color w:val="auto"/>
          <w:sz w:val="32"/>
          <w:szCs w:val="40"/>
          <w:highlight w:val="none"/>
        </w:rPr>
        <w:t>一般</w:t>
      </w:r>
      <w:r>
        <w:rPr>
          <w:rFonts w:ascii="Times New Roman" w:hAnsi="楷体" w:eastAsia="楷体_GB2312" w:cs="楷体"/>
          <w:b/>
          <w:bCs/>
          <w:color w:val="auto"/>
          <w:sz w:val="32"/>
          <w:szCs w:val="40"/>
          <w:highlight w:val="none"/>
        </w:rPr>
        <w:t>）</w:t>
      </w:r>
    </w:p>
    <w:p w14:paraId="2A23670E">
      <w:pPr>
        <w:spacing w:line="580" w:lineRule="exact"/>
        <w:ind w:firstLine="643"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b/>
          <w:bCs/>
          <w:color w:val="auto"/>
          <w:sz w:val="32"/>
          <w:szCs w:val="40"/>
          <w:highlight w:val="none"/>
        </w:rPr>
        <w:t>指南意图</w:t>
      </w:r>
      <w:r>
        <w:rPr>
          <w:rFonts w:ascii="Times New Roman" w:hAnsi="仿宋_GB2312" w:eastAsia="仿宋_GB2312" w:cs="仿宋_GB2312"/>
          <w:b/>
          <w:bCs/>
          <w:color w:val="auto"/>
          <w:sz w:val="32"/>
          <w:szCs w:val="40"/>
          <w:highlight w:val="none"/>
        </w:rPr>
        <w:t>：</w:t>
      </w:r>
      <w:r>
        <w:rPr>
          <w:rFonts w:ascii="Times New Roman" w:hAnsi="仿宋_GB2312" w:eastAsia="仿宋_GB2312" w:cs="仿宋_GB2312"/>
          <w:color w:val="auto"/>
          <w:sz w:val="32"/>
          <w:szCs w:val="40"/>
          <w:highlight w:val="none"/>
        </w:rPr>
        <w:t>（1）系统梳理中国教育法制的发展脉络，揭示其与政治制度、文化传统的互动关系</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（2）总结不同历史时期教育法律制度的特征、功能及局限性，提炼对当代教育法治的启示</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中国教育法制史的核心专题深度研究，例如教育管理体制、教师和学生身份、学校体系和办学制度等</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（4）探讨新时代教育法制的创新发展，研究如何将中华优秀传统教育文化与现代法治精神、教育理念相结合，构建具有中国特色、中国风格、中国气派的教育</w:t>
      </w:r>
      <w:r>
        <w:rPr>
          <w:rFonts w:hint="eastAsia" w:ascii="Times New Roman" w:hAnsi="仿宋_GB2312" w:eastAsia="仿宋_GB2312" w:cs="仿宋_GB2312"/>
          <w:color w:val="auto"/>
          <w:sz w:val="32"/>
          <w:szCs w:val="40"/>
          <w:highlight w:val="none"/>
        </w:rPr>
        <w:t>法治文化</w:t>
      </w:r>
      <w:r>
        <w:rPr>
          <w:rFonts w:ascii="Times New Roman" w:hAnsi="仿宋_GB2312" w:eastAsia="仿宋_GB2312" w:cs="仿宋_GB2312"/>
          <w:color w:val="auto"/>
          <w:sz w:val="32"/>
          <w:szCs w:val="40"/>
          <w:highlight w:val="none"/>
        </w:rPr>
        <w:t>体系。</w:t>
      </w:r>
    </w:p>
    <w:p w14:paraId="67DF6DE8">
      <w:pPr>
        <w:spacing w:line="580" w:lineRule="exact"/>
        <w:ind w:firstLine="643"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b/>
          <w:bCs/>
          <w:color w:val="auto"/>
          <w:sz w:val="32"/>
          <w:szCs w:val="40"/>
          <w:highlight w:val="none"/>
        </w:rPr>
        <w:t>成果形式</w:t>
      </w:r>
      <w:r>
        <w:rPr>
          <w:rFonts w:hint="eastAsia" w:ascii="Times New Roman" w:hAnsi="仿宋_GB2312" w:eastAsia="仿宋_GB2312" w:cs="仿宋_GB2312"/>
          <w:color w:val="auto"/>
          <w:sz w:val="32"/>
          <w:szCs w:val="40"/>
          <w:highlight w:val="none"/>
        </w:rPr>
        <w:t>：综合研究报告、决策建议、期刊论文。</w:t>
      </w:r>
    </w:p>
    <w:p w14:paraId="243A3065">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世界主要国家教育基本制度研究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一般</w:t>
      </w:r>
      <w:r>
        <w:rPr>
          <w:rFonts w:ascii="Times New Roman" w:hAnsi="楷体" w:eastAsia="楷体_GB2312" w:cs="楷体"/>
          <w:b/>
          <w:bCs/>
          <w:color w:val="auto"/>
          <w:sz w:val="32"/>
          <w:szCs w:val="40"/>
          <w:highlight w:val="none"/>
        </w:rPr>
        <w:t>）</w:t>
      </w:r>
    </w:p>
    <w:p w14:paraId="5D4F7A72">
      <w:pPr>
        <w:spacing w:line="580" w:lineRule="exact"/>
        <w:ind w:firstLine="643"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b/>
          <w:bCs/>
          <w:color w:val="auto"/>
          <w:sz w:val="32"/>
          <w:szCs w:val="40"/>
          <w:highlight w:val="none"/>
        </w:rPr>
        <w:t>研究内容：</w:t>
      </w:r>
      <w:r>
        <w:rPr>
          <w:rFonts w:ascii="Times New Roman" w:hAnsi="仿宋_GB2312" w:eastAsia="仿宋_GB2312" w:cs="仿宋_GB2312"/>
          <w:color w:val="auto"/>
          <w:sz w:val="32"/>
          <w:szCs w:val="40"/>
          <w:highlight w:val="none"/>
        </w:rPr>
        <w:t>（1）</w:t>
      </w:r>
      <w:r>
        <w:rPr>
          <w:rFonts w:hint="eastAsia" w:ascii="Times New Roman" w:hAnsi="仿宋_GB2312" w:eastAsia="仿宋_GB2312" w:cs="仿宋_GB2312"/>
          <w:color w:val="auto"/>
          <w:sz w:val="32"/>
          <w:szCs w:val="40"/>
          <w:highlight w:val="none"/>
        </w:rPr>
        <w:t>全面梳理世界主要国家（涵盖不同大洲、不同发展水平、不同教育模式）教育基本制度的核心框架、主要内容与实施现状，厘清制度设计的逻辑起点与核心导向</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（2）</w:t>
      </w:r>
      <w:r>
        <w:rPr>
          <w:rFonts w:hint="eastAsia" w:ascii="Times New Roman" w:hAnsi="仿宋_GB2312" w:eastAsia="仿宋_GB2312" w:cs="仿宋_GB2312"/>
          <w:color w:val="auto"/>
          <w:sz w:val="32"/>
          <w:szCs w:val="40"/>
          <w:highlight w:val="none"/>
        </w:rPr>
        <w:t>深入分析各国教育基本制度的运行机制、保障体系、改革路径，总结其在促进教育公平、提升教育质量、服务国家发展等方面的成功经验与潜在问题</w:t>
      </w:r>
      <w:r>
        <w:rPr>
          <w:rFonts w:hint="eastAsia" w:ascii="Times New Roman" w:hAnsi="仿宋_GB2312" w:eastAsia="仿宋_GB2312" w:cs="仿宋_GB2312"/>
          <w:color w:val="auto"/>
          <w:sz w:val="32"/>
          <w:szCs w:val="40"/>
          <w:highlight w:val="none"/>
          <w:lang w:eastAsia="zh-CN"/>
        </w:rPr>
        <w:t>；</w:t>
      </w:r>
      <w:r>
        <w:rPr>
          <w:rFonts w:ascii="Times New Roman" w:hAnsi="仿宋_GB2312" w:eastAsia="仿宋_GB2312" w:cs="仿宋_GB2312"/>
          <w:color w:val="auto"/>
          <w:sz w:val="32"/>
          <w:szCs w:val="40"/>
          <w:highlight w:val="none"/>
        </w:rPr>
        <w:t>（3）</w:t>
      </w:r>
      <w:r>
        <w:rPr>
          <w:rFonts w:hint="eastAsia" w:ascii="Times New Roman" w:hAnsi="仿宋_GB2312" w:eastAsia="仿宋_GB2312" w:cs="仿宋_GB2312"/>
          <w:color w:val="auto"/>
          <w:sz w:val="32"/>
          <w:szCs w:val="40"/>
          <w:highlight w:val="none"/>
        </w:rPr>
        <w:t>结合我国教育发展实际与教育强国建设需求，提炼可借鉴的制度元素与实践路径，提出针对性、可操作的政策建议，为我国教育基本制度改革完善提供决策支撑。</w:t>
      </w:r>
    </w:p>
    <w:p w14:paraId="401343B9">
      <w:pPr>
        <w:spacing w:line="580" w:lineRule="exact"/>
        <w:ind w:firstLine="643" w:firstLineChars="200"/>
        <w:rPr>
          <w:rFonts w:ascii="Times New Roman" w:hAnsi="仿宋_GB2312" w:eastAsia="仿宋_GB2312" w:cs="仿宋_GB2312"/>
          <w:color w:val="auto"/>
          <w:sz w:val="32"/>
          <w:szCs w:val="40"/>
          <w:highlight w:val="none"/>
        </w:rPr>
      </w:pPr>
      <w:r>
        <w:rPr>
          <w:rFonts w:hint="eastAsia" w:ascii="Times New Roman" w:hAnsi="仿宋_GB2312" w:eastAsia="仿宋_GB2312" w:cs="仿宋_GB2312"/>
          <w:b/>
          <w:bCs/>
          <w:color w:val="auto"/>
          <w:sz w:val="32"/>
          <w:szCs w:val="40"/>
          <w:highlight w:val="none"/>
        </w:rPr>
        <w:t>成果形式</w:t>
      </w:r>
      <w:r>
        <w:rPr>
          <w:rFonts w:hint="eastAsia" w:ascii="Times New Roman" w:hAnsi="仿宋_GB2312" w:eastAsia="仿宋_GB2312" w:cs="仿宋_GB2312"/>
          <w:color w:val="auto"/>
          <w:sz w:val="32"/>
          <w:szCs w:val="40"/>
          <w:highlight w:val="none"/>
        </w:rPr>
        <w:t>：综合研究报告、决策建议、期刊论文。</w:t>
      </w:r>
    </w:p>
    <w:p w14:paraId="3767A5E7">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人工智能教育国际合作的模式、路径与策略研究</w:t>
      </w:r>
      <w:r>
        <w:rPr>
          <w:rFonts w:hint="eastAsia" w:ascii="Times New Roman" w:hAnsi="楷体" w:eastAsia="楷体_GB2312" w:cs="楷体"/>
          <w:b/>
          <w:bCs/>
          <w:color w:val="auto"/>
          <w:sz w:val="32"/>
          <w:szCs w:val="40"/>
          <w:highlight w:val="none"/>
          <w:lang w:eastAsia="zh-CN"/>
        </w:rPr>
        <w:t>（</w:t>
      </w:r>
      <w:r>
        <w:rPr>
          <w:rFonts w:hint="eastAsia" w:ascii="Times New Roman" w:hAnsi="楷体" w:eastAsia="楷体_GB2312" w:cs="楷体"/>
          <w:b/>
          <w:bCs/>
          <w:color w:val="auto"/>
          <w:sz w:val="32"/>
          <w:szCs w:val="40"/>
          <w:highlight w:val="none"/>
          <w:lang w:val="en-US" w:eastAsia="zh-CN"/>
        </w:rPr>
        <w:t>一般</w:t>
      </w:r>
      <w:r>
        <w:rPr>
          <w:rFonts w:hint="eastAsia" w:ascii="Times New Roman" w:hAnsi="楷体" w:eastAsia="楷体_GB2312" w:cs="楷体"/>
          <w:b/>
          <w:bCs/>
          <w:color w:val="auto"/>
          <w:sz w:val="32"/>
          <w:szCs w:val="40"/>
          <w:highlight w:val="none"/>
          <w:lang w:eastAsia="zh-CN"/>
        </w:rPr>
        <w:t>）</w:t>
      </w:r>
    </w:p>
    <w:p w14:paraId="6B8F1B14">
      <w:p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（1）调研周边国家和共建“一带一路”国家人工智能教育政策环境、教育体系与产业基础，重点掌握其在基础教育、职业教育、高等教育和教师教育等领域的实际需求</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（2）围绕人工智能教育课程建设、资源共享、平台应用、师资发展和规范互鉴等重点领域，研究中国与相关国家开展合作共建的共通基础、互补空间、实施条件与现实障碍</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（3）梳理欧美国家在上述国家开展人工智能教育合作的主要布局方式和实施路径，比较其在课程建设、平台应用、师资发展和规范标准等方面的做法与成效</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（4）在需求调研、合作基础分析和国际比较基础上，提出中国分层分类推进人工智能教育国际合作的路径设计与政策建议。</w:t>
      </w:r>
    </w:p>
    <w:p w14:paraId="2A8246C7">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ascii="Times New Roman" w:hAnsi="楷体" w:eastAsia="楷体_GB2312" w:cs="楷体"/>
          <w:b/>
          <w:bCs/>
          <w:color w:val="auto"/>
          <w:sz w:val="32"/>
          <w:szCs w:val="40"/>
          <w:highlight w:val="none"/>
        </w:rPr>
        <w:t>高等教育资历跨境认可全球实践和相关履约机制研究</w:t>
      </w:r>
      <w:r>
        <w:rPr>
          <w:rFonts w:hint="eastAsia" w:ascii="Times New Roman" w:hAnsi="楷体" w:eastAsia="楷体_GB2312" w:cs="楷体"/>
          <w:b/>
          <w:bCs/>
          <w:color w:val="auto"/>
          <w:sz w:val="32"/>
          <w:szCs w:val="40"/>
          <w:highlight w:val="none"/>
        </w:rPr>
        <w:t>（一般）</w:t>
      </w:r>
    </w:p>
    <w:p w14:paraId="2FA20401">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调研高等教育资历跨境认可的全球实践现状，梳理我国缔结或参加的相关双多边条约、协定及其履约工作机制；（2）分析跨境合作、远程教育等新趋势给全球高等教育资历跨境认可和我国履约实践带来的挑战；（3）提出提升我国履约能力和全球治理水平的措施建议。</w:t>
      </w:r>
    </w:p>
    <w:p w14:paraId="49670149">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来华留学历史变迁与发展趋势研究（一般）</w:t>
      </w:r>
    </w:p>
    <w:p w14:paraId="5421C9CB">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研究来华留学发展的历史演变过程，按不同历史时期梳理相关政策变迁，提炼不同时期来华留学特点及变化趋势；（2）结合当今全球格局和我国国家发展战略，分析当前来华留学发展的现实基础、主要特点、需解决的问题及面临的机遇与挑战等；（3）结合历史规律，研判新时代背景下来华留学发展的总体趋势及变化方向；（4）形成优化来华留学政策体系和发展路径的对策建议。</w:t>
      </w:r>
    </w:p>
    <w:p w14:paraId="2019C778">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ascii="Times New Roman" w:hAnsi="楷体" w:eastAsia="楷体_GB2312" w:cs="楷体"/>
          <w:b/>
          <w:bCs/>
          <w:color w:val="auto"/>
          <w:sz w:val="32"/>
          <w:szCs w:val="40"/>
          <w:highlight w:val="none"/>
        </w:rPr>
        <w:t>中国教育法治现代化背景下跨境院校合作关系的机制创新研究</w:t>
      </w:r>
      <w:r>
        <w:rPr>
          <w:rFonts w:hint="eastAsia" w:ascii="Times New Roman" w:hAnsi="楷体" w:eastAsia="楷体_GB2312" w:cs="楷体"/>
          <w:b/>
          <w:bCs/>
          <w:color w:val="auto"/>
          <w:sz w:val="32"/>
          <w:szCs w:val="40"/>
          <w:highlight w:val="none"/>
        </w:rPr>
        <w:t>（一般）</w:t>
      </w:r>
    </w:p>
    <w:p w14:paraId="28A831A4">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梳理我国教育法治现代化进程中跨境院校合作的政策演进与实践脉络；（2）分析中外法域在教育合作领域的法律规则差异，识别传统合作模式中法律适用、利益分配的核心瓶颈；（3）聚焦联合办学、学分互认、师资共建三大领域，开展跨境院校合作模式的国际比较研究；（4）构建适配我国法治要求与全球教育治理趋势的跨境院校合作创新机制，制定学分量化对接、师资资质互认的实操标准；（5）提出完善跨境院校合作法律保障体系、优化合作监管流程的意见建议，推动合作高质量可持续发展。</w:t>
      </w:r>
    </w:p>
    <w:p w14:paraId="15964E22">
      <w:pPr>
        <w:numPr>
          <w:ilvl w:val="0"/>
          <w:numId w:val="6"/>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新时期人才环流政策导向与应对路径研究——基于建党百年留学报国脉络的审视（一般）</w:t>
      </w:r>
    </w:p>
    <w:p w14:paraId="593179CC">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历史基底构建：以建党百年留学报国脉络为历史基底，系统梳理不同历史时期留学人员归国就业的时代特征、使命担当与贡献轨迹，厘清从建党初期、新中国成立后、改革开放后、十八大以来的留学报国精神传承与人才流动规律</w:t>
      </w:r>
      <w:r>
        <w:rPr>
          <w:rFonts w:hint="eastAsia" w:ascii="Times New Roman" w:hAnsi="仿宋_GB2312" w:eastAsia="仿宋_GB2312" w:cs="仿宋_GB2312"/>
          <w:color w:val="auto"/>
          <w:sz w:val="32"/>
          <w:szCs w:val="32"/>
          <w:highlight w:val="none"/>
          <w:lang w:eastAsia="zh-CN"/>
        </w:rPr>
        <w:t>；</w:t>
      </w:r>
      <w:r>
        <w:rPr>
          <w:rFonts w:ascii="Times New Roman" w:hAnsi="仿宋_GB2312" w:eastAsia="仿宋_GB2312" w:cs="仿宋_GB2312"/>
          <w:color w:val="auto"/>
          <w:sz w:val="32"/>
          <w:szCs w:val="32"/>
          <w:highlight w:val="none"/>
        </w:rPr>
        <w:t>（2）研究框架搭建：基于历史梳理与现实需求，构建“历史传承-现实适配-价值升华”的一体化研究框架，实现历史维度与现实维度的有机衔接</w:t>
      </w:r>
      <w:r>
        <w:rPr>
          <w:rFonts w:hint="eastAsia" w:ascii="Times New Roman" w:hAnsi="仿宋_GB2312" w:eastAsia="仿宋_GB2312" w:cs="仿宋_GB2312"/>
          <w:color w:val="auto"/>
          <w:sz w:val="32"/>
          <w:szCs w:val="32"/>
          <w:highlight w:val="none"/>
          <w:lang w:eastAsia="zh-CN"/>
        </w:rPr>
        <w:t>；</w:t>
      </w:r>
      <w:r>
        <w:rPr>
          <w:rFonts w:ascii="Times New Roman" w:hAnsi="仿宋_GB2312" w:eastAsia="仿宋_GB2312" w:cs="仿宋_GB2312"/>
          <w:color w:val="auto"/>
          <w:sz w:val="32"/>
          <w:szCs w:val="32"/>
          <w:highlight w:val="none"/>
        </w:rPr>
        <w:t>（3）现状调研与瓶颈剖析：在回望百年留学报国初心传承的基础上，精准调研新时代高层次留学归国人员的就业现状、行业分布与作用发挥态势，深入剖析其在供需对接、政策落地、能力适配、环境融入等方面面临的核心瓶颈</w:t>
      </w:r>
      <w:r>
        <w:rPr>
          <w:rFonts w:hint="eastAsia" w:ascii="Times New Roman" w:hAnsi="仿宋_GB2312" w:eastAsia="仿宋_GB2312" w:cs="仿宋_GB2312"/>
          <w:color w:val="auto"/>
          <w:sz w:val="32"/>
          <w:szCs w:val="32"/>
          <w:highlight w:val="none"/>
          <w:lang w:eastAsia="zh-CN"/>
        </w:rPr>
        <w:t>；</w:t>
      </w:r>
      <w:r>
        <w:rPr>
          <w:rFonts w:ascii="Times New Roman" w:hAnsi="仿宋_GB2312" w:eastAsia="仿宋_GB2312" w:cs="仿宋_GB2312"/>
          <w:color w:val="auto"/>
          <w:sz w:val="32"/>
          <w:szCs w:val="32"/>
          <w:highlight w:val="none"/>
        </w:rPr>
        <w:t>（4）关键问题聚焦：重点探究产业需求与人才能力的错位矛盾、政策执行中的堵点难点、</w:t>
      </w:r>
      <w:r>
        <w:rPr>
          <w:rFonts w:hint="eastAsia" w:ascii="Times New Roman" w:hAnsi="仿宋_GB2312" w:eastAsia="仿宋_GB2312" w:cs="仿宋_GB2312"/>
          <w:color w:val="auto"/>
          <w:sz w:val="32"/>
          <w:szCs w:val="32"/>
          <w:highlight w:val="none"/>
          <w:lang w:val="en-US" w:eastAsia="zh-CN"/>
        </w:rPr>
        <w:t>重点区域（如美国）的高层次留学人才引进路径问题、</w:t>
      </w:r>
      <w:r>
        <w:rPr>
          <w:rFonts w:ascii="Times New Roman" w:hAnsi="仿宋_GB2312" w:eastAsia="仿宋_GB2312" w:cs="仿宋_GB2312"/>
          <w:color w:val="auto"/>
          <w:sz w:val="32"/>
          <w:szCs w:val="32"/>
          <w:highlight w:val="none"/>
        </w:rPr>
        <w:t>跨文化能力向本土实践转化的障碍等关键问题，为后续提出应对举措筑牢问题根基。</w:t>
      </w:r>
    </w:p>
    <w:p w14:paraId="2AF1D92F">
      <w:pPr>
        <w:numPr>
          <w:ilvl w:val="0"/>
          <w:numId w:val="1"/>
        </w:numPr>
        <w:spacing w:before="156" w:beforeLines="50" w:after="156" w:afterLines="50" w:line="580" w:lineRule="exact"/>
        <w:ind w:firstLine="643" w:firstLineChars="200"/>
        <w:rPr>
          <w:rFonts w:ascii="Times New Roman" w:hAnsi="黑体" w:eastAsia="黑体" w:cs="黑体"/>
          <w:b/>
          <w:bCs/>
          <w:color w:val="auto"/>
          <w:sz w:val="32"/>
          <w:szCs w:val="32"/>
          <w:highlight w:val="none"/>
        </w:rPr>
      </w:pPr>
      <w:r>
        <w:rPr>
          <w:rFonts w:hint="eastAsia" w:ascii="Times New Roman" w:hAnsi="黑体" w:eastAsia="黑体" w:cs="黑体"/>
          <w:b/>
          <w:bCs/>
          <w:color w:val="auto"/>
          <w:sz w:val="32"/>
          <w:szCs w:val="32"/>
          <w:highlight w:val="none"/>
        </w:rPr>
        <w:t>培育项目</w:t>
      </w:r>
    </w:p>
    <w:p w14:paraId="7DAF8C26">
      <w:pPr>
        <w:numPr>
          <w:ilvl w:val="0"/>
          <w:numId w:val="7"/>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国际组织人才培养与推送协同机制研究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61B4DC8F">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（1）围绕我国参与全球治理的战略需求，分析国际组织对人才素养和能力结构的核心要求</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（2）结合我国国际组织人才培养与推送实践，识别现有人才培养体系与国际组织用人需求之间的主要短板和制约因素</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（3）通过国际比较和中国籍职员任职情况分析，构建“十五五”时期国际组织人才培养的重点领域和能力框架</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（4）在调研高校相关培养项目的基础上，探索人才培养、储备与推送的协同机制，提出完善我国国际组织人才工作体系的政策建议。</w:t>
      </w:r>
    </w:p>
    <w:p w14:paraId="31BE2958">
      <w:pPr>
        <w:numPr>
          <w:ilvl w:val="0"/>
          <w:numId w:val="7"/>
        </w:numPr>
        <w:spacing w:line="580" w:lineRule="exact"/>
        <w:ind w:firstLine="643" w:firstLineChars="200"/>
        <w:outlineLvl w:val="0"/>
        <w:rPr>
          <w:rFonts w:ascii="Times New Roman" w:hAnsi="楷体" w:eastAsia="楷体_GB2312" w:cs="楷体"/>
          <w:b/>
          <w:bCs/>
          <w:color w:val="auto"/>
          <w:sz w:val="32"/>
          <w:szCs w:val="40"/>
          <w:highlight w:val="none"/>
        </w:rPr>
      </w:pPr>
      <w:r>
        <w:rPr>
          <w:rFonts w:hint="eastAsia" w:ascii="Times New Roman" w:hAnsi="楷体" w:eastAsia="楷体_GB2312" w:cs="楷体"/>
          <w:b/>
          <w:bCs/>
          <w:color w:val="auto"/>
          <w:sz w:val="32"/>
          <w:szCs w:val="40"/>
          <w:highlight w:val="none"/>
        </w:rPr>
        <w:t>中国教育国际传播能力建设研究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44E77242">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（1）系统梳理党和国家关于国际传播能力建设和教育对外开放的重要部署，明确中国教育国际传播的理论基础和制度要求</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（2）立足国际形势变化和涉华教育舆论环境，分析中国教育国际传播面临的主要挑战和机制短板</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（3）围绕中国教育国际传播内容体系，研究讲好中国教育故事的叙事方式和话语表达策略</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（4）结合多元传播主体和数字化场景，创新传播载体和方式，探索提升中国教育国际传播体系整体效能和国际影响力的实践路径与政策建议。</w:t>
      </w:r>
    </w:p>
    <w:p w14:paraId="65AA468E">
      <w:pPr>
        <w:numPr>
          <w:ilvl w:val="0"/>
          <w:numId w:val="7"/>
        </w:numPr>
        <w:spacing w:line="580" w:lineRule="exact"/>
        <w:ind w:firstLine="643" w:firstLineChars="200"/>
        <w:outlineLvl w:val="0"/>
        <w:rPr>
          <w:rFonts w:ascii="Times New Roman" w:hAnsi="楷体" w:eastAsia="楷体_GB2312" w:cs="楷体"/>
          <w:b/>
          <w:bCs/>
          <w:color w:val="auto"/>
          <w:sz w:val="32"/>
          <w:szCs w:val="32"/>
          <w:highlight w:val="none"/>
        </w:rPr>
      </w:pPr>
      <w:r>
        <w:rPr>
          <w:rFonts w:hint="eastAsia" w:ascii="Times New Roman" w:hAnsi="楷体" w:eastAsia="楷体_GB2312" w:cs="楷体"/>
          <w:b/>
          <w:bCs/>
          <w:color w:val="auto"/>
          <w:sz w:val="32"/>
          <w:szCs w:val="32"/>
          <w:highlight w:val="none"/>
        </w:rPr>
        <w:t>基于巡视视角下的新时代高校科学治理的体系与机制研究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797780B5">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运用教育部党组对直属非中管高校多轮内部巡视成果，对巡视监督与高校治理的内在关联进行学理化研究，论证将巡视监督嵌入高校治理体系建设的法理逻辑；（2）梳理运用巡视发现的高校治理方面的问题，剖析问题背后的深层次体制机制障碍，深度分析高校治理中的政治法律制度等风险，绘制“高校治理风险图谱”；（3）对高校巡视整改中制度“废改立”的具体实践进行比较分析和案例研究，开展巡视整改驱动下的高校内部治理机制创新研究，探索建立高校治理效能评价体系。</w:t>
      </w:r>
    </w:p>
    <w:p w14:paraId="2878ACE1">
      <w:pPr>
        <w:numPr>
          <w:ilvl w:val="0"/>
          <w:numId w:val="7"/>
        </w:numPr>
        <w:spacing w:line="580" w:lineRule="exact"/>
        <w:ind w:firstLine="643" w:firstLineChars="200"/>
        <w:outlineLvl w:val="0"/>
        <w:rPr>
          <w:rFonts w:ascii="Times New Roman" w:hAnsi="楷体" w:eastAsia="楷体_GB2312" w:cs="楷体"/>
          <w:b/>
          <w:bCs/>
          <w:color w:val="auto"/>
          <w:sz w:val="32"/>
          <w:szCs w:val="32"/>
          <w:highlight w:val="none"/>
        </w:rPr>
      </w:pPr>
      <w:r>
        <w:rPr>
          <w:rFonts w:hint="eastAsia" w:ascii="Times New Roman" w:hAnsi="楷体" w:eastAsia="楷体_GB2312" w:cs="楷体"/>
          <w:b/>
          <w:bCs/>
          <w:color w:val="auto"/>
          <w:sz w:val="32"/>
          <w:szCs w:val="32"/>
          <w:highlight w:val="none"/>
        </w:rPr>
        <w:t>跨境留学安全风险的评价与防控研究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675EC91E">
      <w:pPr>
        <w:spacing w:line="580" w:lineRule="exact"/>
        <w:ind w:firstLine="643" w:firstLineChars="200"/>
        <w:rPr>
          <w:rFonts w:ascii="Times New Roman" w:hAnsi="仿宋_GB2312" w:eastAsia="仿宋_GB2312" w:cs="仿宋_GB2312"/>
          <w:color w:val="auto"/>
          <w:sz w:val="32"/>
          <w:szCs w:val="32"/>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：（1）</w:t>
      </w:r>
      <w:r>
        <w:rPr>
          <w:rFonts w:ascii="Times New Roman" w:hAnsi="仿宋_GB2312" w:eastAsia="仿宋_GB2312" w:cs="仿宋_GB2312"/>
          <w:color w:val="auto"/>
          <w:sz w:val="32"/>
          <w:szCs w:val="32"/>
          <w:highlight w:val="none"/>
        </w:rPr>
        <w:t>对留学安全风险从人身安全风险、财产安全风险、心理与健康安全风险、学术风险、法律风险等维度进行整理分类</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（2）</w:t>
      </w:r>
      <w:r>
        <w:rPr>
          <w:rFonts w:ascii="Times New Roman" w:hAnsi="仿宋_GB2312" w:eastAsia="仿宋_GB2312" w:cs="仿宋_GB2312"/>
          <w:color w:val="auto"/>
          <w:sz w:val="32"/>
          <w:szCs w:val="32"/>
          <w:highlight w:val="none"/>
        </w:rPr>
        <w:t>设计构建跨境留学安全风险综合评价模型，为各风险类别下的风险因素设置权重，综合运用定性与定量方法，构建可量化、可比较的综合风险评价模型</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（3）</w:t>
      </w:r>
      <w:r>
        <w:rPr>
          <w:rFonts w:ascii="Times New Roman" w:hAnsi="仿宋_GB2312" w:eastAsia="仿宋_GB2312" w:cs="仿宋_GB2312"/>
          <w:color w:val="auto"/>
          <w:sz w:val="32"/>
          <w:szCs w:val="32"/>
          <w:highlight w:val="none"/>
        </w:rPr>
        <w:t>根据综合风险评价模型，收集主要留学目的国（英国、美国、新加坡、加拿大、澳大利亚、日本、德国、法国等）统计数据，运用定性与定量方法，对其进行安全风险评价，形成国别评价报告</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（4）</w:t>
      </w:r>
      <w:r>
        <w:rPr>
          <w:rFonts w:ascii="Times New Roman" w:hAnsi="仿宋_GB2312" w:eastAsia="仿宋_GB2312" w:cs="仿宋_GB2312"/>
          <w:color w:val="auto"/>
          <w:sz w:val="32"/>
          <w:szCs w:val="32"/>
          <w:highlight w:val="none"/>
        </w:rPr>
        <w:t>根据评价报告，对主要留学目的国风险进行分析，参考国内外研究报告和实践经验，制定安全风险防控方案，方案应注重实效性，兼具创新性</w:t>
      </w:r>
      <w:r>
        <w:rPr>
          <w:rFonts w:hint="eastAsia" w:ascii="Times New Roman" w:hAnsi="仿宋_GB2312" w:eastAsia="仿宋_GB2312" w:cs="仿宋_GB2312"/>
          <w:color w:val="auto"/>
          <w:sz w:val="32"/>
          <w:szCs w:val="32"/>
          <w:highlight w:val="none"/>
          <w:lang w:eastAsia="zh-CN"/>
        </w:rPr>
        <w:t>；</w:t>
      </w:r>
      <w:r>
        <w:rPr>
          <w:rFonts w:hint="eastAsia" w:ascii="Times New Roman" w:hAnsi="仿宋_GB2312" w:eastAsia="仿宋_GB2312" w:cs="仿宋_GB2312"/>
          <w:color w:val="auto"/>
          <w:sz w:val="32"/>
          <w:szCs w:val="32"/>
          <w:highlight w:val="none"/>
        </w:rPr>
        <w:t>（5）</w:t>
      </w:r>
      <w:r>
        <w:rPr>
          <w:rFonts w:ascii="Times New Roman" w:hAnsi="仿宋_GB2312" w:eastAsia="仿宋_GB2312" w:cs="仿宋_GB2312"/>
          <w:color w:val="auto"/>
          <w:sz w:val="32"/>
          <w:szCs w:val="32"/>
          <w:highlight w:val="none"/>
        </w:rPr>
        <w:t>设计并构建一个多方协同、贯穿留学全过程的风险防控机制。该机制旨在强化留学生个体的风险防范意识，发挥海外学联的居间协调与中转作用，并推动设立海外分中心以配合驻外使馆开展主动服务。</w:t>
      </w:r>
    </w:p>
    <w:p w14:paraId="7001EACC">
      <w:pPr>
        <w:numPr>
          <w:ilvl w:val="0"/>
          <w:numId w:val="7"/>
        </w:numPr>
        <w:spacing w:line="580" w:lineRule="exact"/>
        <w:ind w:firstLine="643" w:firstLineChars="200"/>
        <w:outlineLvl w:val="0"/>
        <w:rPr>
          <w:rFonts w:ascii="Times New Roman" w:hAnsi="楷体" w:eastAsia="楷体_GB2312" w:cs="楷体"/>
          <w:b/>
          <w:bCs/>
          <w:color w:val="auto"/>
          <w:sz w:val="32"/>
          <w:szCs w:val="32"/>
          <w:highlight w:val="none"/>
        </w:rPr>
      </w:pPr>
      <w:r>
        <w:rPr>
          <w:rFonts w:hint="eastAsia" w:ascii="Times New Roman" w:hAnsi="楷体" w:eastAsia="楷体_GB2312" w:cs="楷体"/>
          <w:b/>
          <w:bCs/>
          <w:color w:val="auto"/>
          <w:sz w:val="32"/>
          <w:szCs w:val="32"/>
          <w:highlight w:val="none"/>
        </w:rPr>
        <w:t>全球主要国家在外留学人员非政府管理服务机制比较研究</w:t>
      </w:r>
      <w:r>
        <w:rPr>
          <w:rFonts w:ascii="Times New Roman" w:hAnsi="楷体" w:eastAsia="楷体_GB2312" w:cs="楷体"/>
          <w:b/>
          <w:bCs/>
          <w:color w:val="auto"/>
          <w:sz w:val="32"/>
          <w:szCs w:val="40"/>
          <w:highlight w:val="none"/>
        </w:rPr>
        <w:t>（</w:t>
      </w:r>
      <w:r>
        <w:rPr>
          <w:rFonts w:hint="eastAsia" w:ascii="Times New Roman" w:hAnsi="楷体" w:eastAsia="楷体_GB2312" w:cs="楷体"/>
          <w:b/>
          <w:bCs/>
          <w:color w:val="auto"/>
          <w:sz w:val="32"/>
          <w:szCs w:val="40"/>
          <w:highlight w:val="none"/>
        </w:rPr>
        <w:t>培育</w:t>
      </w:r>
      <w:r>
        <w:rPr>
          <w:rFonts w:ascii="Times New Roman" w:hAnsi="楷体" w:eastAsia="楷体_GB2312" w:cs="楷体"/>
          <w:b/>
          <w:bCs/>
          <w:color w:val="auto"/>
          <w:sz w:val="32"/>
          <w:szCs w:val="40"/>
          <w:highlight w:val="none"/>
        </w:rPr>
        <w:t>）</w:t>
      </w:r>
    </w:p>
    <w:p w14:paraId="3EFF6E0C">
      <w:pPr>
        <w:ind w:firstLine="643" w:firstLineChars="200"/>
        <w:rPr>
          <w:color w:val="auto"/>
          <w:highlight w:val="none"/>
        </w:rPr>
      </w:pPr>
      <w:r>
        <w:rPr>
          <w:rFonts w:hint="eastAsia" w:ascii="Times New Roman" w:hAnsi="仿宋_GB2312" w:eastAsia="仿宋_GB2312" w:cs="仿宋_GB2312"/>
          <w:b/>
          <w:bCs/>
          <w:color w:val="auto"/>
          <w:sz w:val="32"/>
          <w:szCs w:val="32"/>
          <w:highlight w:val="none"/>
        </w:rPr>
        <w:t>指南意图</w:t>
      </w:r>
      <w:r>
        <w:rPr>
          <w:rFonts w:hint="eastAsia" w:ascii="Times New Roman" w:hAnsi="仿宋_GB2312" w:eastAsia="仿宋_GB2312" w:cs="仿宋_GB2312"/>
          <w:color w:val="auto"/>
          <w:sz w:val="32"/>
          <w:szCs w:val="32"/>
          <w:highlight w:val="none"/>
        </w:rPr>
        <w:t>：</w:t>
      </w:r>
      <w:r>
        <w:rPr>
          <w:rFonts w:ascii="Times New Roman" w:hAnsi="仿宋_GB2312" w:eastAsia="仿宋_GB2312" w:cs="仿宋_GB2312"/>
          <w:color w:val="auto"/>
          <w:sz w:val="32"/>
          <w:szCs w:val="32"/>
          <w:highlight w:val="none"/>
        </w:rPr>
        <w:t>（1）梳理、归纳海外中国留学人员团体的注册形式、规模架构、经费来源、服务模式等特点；（2）梳理、归纳并比较全球主要国家在海外管理、服务本国留学人员的非政府组织（如：交流协会、学生团体等）及其注册形式、规模架构、经费来源、服务模式等特点；（3）梳理全球主要国家针对上述组织或团体出台的政策法规并分析、对比相关的应对策略；（4）对比借鉴他国经验，提出优化海外中国留学人员团体服务机制的方案；（5）探索在海外设立中国留学人员服务机构的方式并论证其可行性。</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070EA">
    <w:pPr>
      <w:pStyle w:val="4"/>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E3D83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E3D83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3785BE"/>
    <w:multiLevelType w:val="singleLevel"/>
    <w:tmpl w:val="953785BE"/>
    <w:lvl w:ilvl="0" w:tentative="0">
      <w:start w:val="1"/>
      <w:numFmt w:val="bullet"/>
      <w:lvlText w:val=""/>
      <w:lvlJc w:val="left"/>
      <w:pPr>
        <w:tabs>
          <w:tab w:val="left" w:pos="420"/>
        </w:tabs>
        <w:ind w:left="840" w:hanging="420"/>
      </w:pPr>
      <w:rPr>
        <w:rFonts w:hint="default" w:ascii="Wingdings" w:hAnsi="Wingdings"/>
      </w:rPr>
    </w:lvl>
  </w:abstractNum>
  <w:abstractNum w:abstractNumId="1">
    <w:nsid w:val="AC0AB34C"/>
    <w:multiLevelType w:val="singleLevel"/>
    <w:tmpl w:val="AC0AB34C"/>
    <w:lvl w:ilvl="0" w:tentative="0">
      <w:start w:val="1"/>
      <w:numFmt w:val="chineseCounting"/>
      <w:suff w:val="nothing"/>
      <w:lvlText w:val="（%1）"/>
      <w:lvlJc w:val="left"/>
      <w:rPr>
        <w:rFonts w:hint="eastAsia"/>
      </w:rPr>
    </w:lvl>
  </w:abstractNum>
  <w:abstractNum w:abstractNumId="2">
    <w:nsid w:val="B4C6AB9E"/>
    <w:multiLevelType w:val="singleLevel"/>
    <w:tmpl w:val="B4C6AB9E"/>
    <w:lvl w:ilvl="0" w:tentative="0">
      <w:start w:val="1"/>
      <w:numFmt w:val="chineseCounting"/>
      <w:suff w:val="nothing"/>
      <w:lvlText w:val="%1、"/>
      <w:lvlJc w:val="left"/>
      <w:rPr>
        <w:rFonts w:hint="eastAsia"/>
      </w:rPr>
    </w:lvl>
  </w:abstractNum>
  <w:abstractNum w:abstractNumId="3">
    <w:nsid w:val="B62AC1C4"/>
    <w:multiLevelType w:val="singleLevel"/>
    <w:tmpl w:val="B62AC1C4"/>
    <w:lvl w:ilvl="0" w:tentative="0">
      <w:start w:val="1"/>
      <w:numFmt w:val="bullet"/>
      <w:lvlText w:val=""/>
      <w:lvlJc w:val="left"/>
      <w:pPr>
        <w:tabs>
          <w:tab w:val="left" w:pos="420"/>
        </w:tabs>
        <w:ind w:left="840" w:hanging="420"/>
      </w:pPr>
      <w:rPr>
        <w:rFonts w:hint="default" w:ascii="Wingdings" w:hAnsi="Wingdings"/>
      </w:rPr>
    </w:lvl>
  </w:abstractNum>
  <w:abstractNum w:abstractNumId="4">
    <w:nsid w:val="1B43F7A9"/>
    <w:multiLevelType w:val="singleLevel"/>
    <w:tmpl w:val="1B43F7A9"/>
    <w:lvl w:ilvl="0" w:tentative="0">
      <w:start w:val="1"/>
      <w:numFmt w:val="chineseCounting"/>
      <w:suff w:val="nothing"/>
      <w:lvlText w:val="（%1）"/>
      <w:lvlJc w:val="left"/>
      <w:rPr>
        <w:rFonts w:hint="eastAsia"/>
      </w:rPr>
    </w:lvl>
  </w:abstractNum>
  <w:abstractNum w:abstractNumId="5">
    <w:nsid w:val="3301B2F2"/>
    <w:multiLevelType w:val="singleLevel"/>
    <w:tmpl w:val="3301B2F2"/>
    <w:lvl w:ilvl="0" w:tentative="0">
      <w:start w:val="1"/>
      <w:numFmt w:val="chineseCounting"/>
      <w:suff w:val="nothing"/>
      <w:lvlText w:val="（%1）"/>
      <w:lvlJc w:val="left"/>
      <w:rPr>
        <w:rFonts w:hint="eastAsia"/>
      </w:rPr>
    </w:lvl>
  </w:abstractNum>
  <w:abstractNum w:abstractNumId="6">
    <w:nsid w:val="77B1BEAF"/>
    <w:multiLevelType w:val="singleLevel"/>
    <w:tmpl w:val="77B1BEAF"/>
    <w:lvl w:ilvl="0" w:tentative="0">
      <w:start w:val="1"/>
      <w:numFmt w:val="chineseCounting"/>
      <w:suff w:val="nothing"/>
      <w:lvlText w:val="（%1）"/>
      <w:lvlJc w:val="left"/>
      <w:rPr>
        <w:rFonts w:hint="eastAsia"/>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1B36088"/>
    <w:rsid w:val="0027582E"/>
    <w:rsid w:val="00383CF9"/>
    <w:rsid w:val="004662CC"/>
    <w:rsid w:val="00516612"/>
    <w:rsid w:val="0052167F"/>
    <w:rsid w:val="006E2DC1"/>
    <w:rsid w:val="0093426D"/>
    <w:rsid w:val="009D7171"/>
    <w:rsid w:val="00ED39F6"/>
    <w:rsid w:val="01B3170C"/>
    <w:rsid w:val="17D41B5D"/>
    <w:rsid w:val="1A092A87"/>
    <w:rsid w:val="21B36088"/>
    <w:rsid w:val="21E624C2"/>
    <w:rsid w:val="38363B7B"/>
    <w:rsid w:val="392F3DB7"/>
    <w:rsid w:val="3FDA18EC"/>
    <w:rsid w:val="402F1869"/>
    <w:rsid w:val="4DE211F4"/>
    <w:rsid w:val="4F043B94"/>
    <w:rsid w:val="565E3F71"/>
    <w:rsid w:val="5DD5709A"/>
    <w:rsid w:val="5EC65C25"/>
    <w:rsid w:val="5F1C5789"/>
    <w:rsid w:val="61390D49"/>
    <w:rsid w:val="61626B32"/>
    <w:rsid w:val="6796520C"/>
    <w:rsid w:val="69A753F0"/>
    <w:rsid w:val="7143224B"/>
    <w:rsid w:val="7B5C76A2"/>
    <w:rsid w:val="E33F9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Balloon Text"/>
    <w:basedOn w:val="1"/>
    <w:link w:val="10"/>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qFormat/>
    <w:uiPriority w:val="0"/>
    <w:rPr>
      <w:b/>
      <w:bCs/>
    </w:rPr>
  </w:style>
  <w:style w:type="character" w:styleId="9">
    <w:name w:val="annotation reference"/>
    <w:basedOn w:val="8"/>
    <w:qFormat/>
    <w:uiPriority w:val="0"/>
    <w:rPr>
      <w:sz w:val="21"/>
      <w:szCs w:val="21"/>
    </w:rPr>
  </w:style>
  <w:style w:type="character" w:customStyle="1" w:styleId="10">
    <w:name w:val="批注框文本 字符"/>
    <w:basedOn w:val="8"/>
    <w:link w:val="3"/>
    <w:qFormat/>
    <w:uiPriority w:val="0"/>
    <w:rPr>
      <w:kern w:val="2"/>
      <w:sz w:val="18"/>
      <w:szCs w:val="18"/>
    </w:rPr>
  </w:style>
  <w:style w:type="character" w:customStyle="1" w:styleId="11">
    <w:name w:val="批注文字 字符"/>
    <w:basedOn w:val="8"/>
    <w:link w:val="2"/>
    <w:qFormat/>
    <w:uiPriority w:val="0"/>
    <w:rPr>
      <w:kern w:val="2"/>
      <w:sz w:val="21"/>
      <w:szCs w:val="24"/>
    </w:rPr>
  </w:style>
  <w:style w:type="character" w:customStyle="1" w:styleId="12">
    <w:name w:val="批注主题 字符"/>
    <w:basedOn w:val="11"/>
    <w:link w:val="6"/>
    <w:qFormat/>
    <w:uiPriority w:val="0"/>
    <w:rPr>
      <w:b/>
      <w:bCs/>
      <w:kern w:val="2"/>
      <w:sz w:val="21"/>
      <w:szCs w:val="24"/>
    </w:rPr>
  </w:style>
  <w:style w:type="character" w:customStyle="1" w:styleId="13">
    <w:name w:val="页眉 字符"/>
    <w:basedOn w:val="8"/>
    <w:link w:val="5"/>
    <w:qFormat/>
    <w:uiPriority w:val="0"/>
    <w:rPr>
      <w:kern w:val="2"/>
      <w:sz w:val="18"/>
      <w:szCs w:val="18"/>
    </w:rPr>
  </w:style>
  <w:style w:type="character" w:customStyle="1" w:styleId="14">
    <w:name w:val="页脚 字符"/>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7483</Words>
  <Characters>7514</Characters>
  <Lines>54</Lines>
  <Paragraphs>15</Paragraphs>
  <TotalTime>71</TotalTime>
  <ScaleCrop>false</ScaleCrop>
  <LinksUpToDate>false</LinksUpToDate>
  <CharactersWithSpaces>7514</CharactersWithSpaces>
  <Application>WPS Office_12.1.0.26375_F1E327BC-269C-435d-A152-05C5408002CA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2026-05-25T20:12:00Z</dcterms:created>
  <dc:creator>姜雨婷</dc:creator>
  <cp:lastModifiedBy>聆心</cp:lastModifiedBy>
  <dcterms:modified xsi:type="dcterms:W3CDTF">2026-06-02T03:07:54Z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345E6676E16C40B1807CBE7C0E940005_13</vt:lpwstr>
  </property>
  <property fmtid="{D5CDD505-2E9C-101B-9397-08002B2CF9AE}" pid="4" name="KSOTemplateDocerSaveRecord">
    <vt:lpwstr>eyJoZGlkIjoiMmRhOTQ1ODgwNGJlNDdhMWYyMzYwNTI2MDdmMmM4MWQiLCJ1c2VySWQiOiIzNTQyMjIwODIifQ==</vt:lpwstr>
  </property>
</Properties>
</file>