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23C7A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 w14:paraId="78B4D948">
      <w:pPr>
        <w:rPr>
          <w:rFonts w:eastAsia="黑体"/>
          <w:sz w:val="32"/>
          <w:szCs w:val="32"/>
        </w:rPr>
      </w:pPr>
    </w:p>
    <w:p w14:paraId="5A61AC2D">
      <w:pPr>
        <w:adjustRightInd/>
        <w:spacing w:line="60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第十届教育部科学研究优秀成果奖</w:t>
      </w:r>
    </w:p>
    <w:p w14:paraId="2BB826A2">
      <w:pPr>
        <w:adjustRightInd/>
        <w:spacing w:line="60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（人文社会科学）</w:t>
      </w:r>
      <w:bookmarkStart w:id="0" w:name="_Hlk204453260"/>
      <w:r>
        <w:rPr>
          <w:rFonts w:hint="eastAsia" w:eastAsia="方正小标宋简体"/>
          <w:sz w:val="44"/>
          <w:szCs w:val="44"/>
        </w:rPr>
        <w:t>“</w:t>
      </w:r>
      <w:r>
        <w:rPr>
          <w:rFonts w:eastAsia="方正小标宋_GBK"/>
          <w:sz w:val="44"/>
          <w:szCs w:val="44"/>
        </w:rPr>
        <w:t>教育科学研究</w:t>
      </w:r>
      <w:r>
        <w:rPr>
          <w:rFonts w:hint="eastAsia" w:eastAsia="方正小标宋简体"/>
          <w:sz w:val="44"/>
          <w:szCs w:val="44"/>
        </w:rPr>
        <w:t>”</w:t>
      </w:r>
      <w:r>
        <w:rPr>
          <w:rFonts w:eastAsia="方正小标宋_GBK"/>
          <w:sz w:val="44"/>
          <w:szCs w:val="44"/>
        </w:rPr>
        <w:t>专区</w:t>
      </w:r>
      <w:bookmarkEnd w:id="0"/>
    </w:p>
    <w:p w14:paraId="211ED72D">
      <w:pPr>
        <w:adjustRightInd/>
        <w:spacing w:line="60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工作安排</w:t>
      </w:r>
    </w:p>
    <w:p w14:paraId="1AEBF072">
      <w:pPr>
        <w:adjustRightInd/>
        <w:spacing w:line="600" w:lineRule="exact"/>
        <w:textAlignment w:val="auto"/>
        <w:rPr>
          <w:rFonts w:eastAsia="仿宋_GB2312"/>
          <w:sz w:val="32"/>
          <w:szCs w:val="36"/>
        </w:rPr>
      </w:pPr>
    </w:p>
    <w:p w14:paraId="48A4CC8C">
      <w:pPr>
        <w:adjustRightInd/>
        <w:spacing w:line="600" w:lineRule="exact"/>
        <w:textAlignment w:val="auto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2"/>
        </w:rPr>
        <w:t xml:space="preserve">    第十届教育部科学研究优秀成果奖（人文社会科学）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教育科学研究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专区评奖工作由全国教育科学规划领导小组统筹领导，全国教育科学规划领导小组办公室（以下简称全规办）具体组织实施。有关工作安排如下。</w:t>
      </w:r>
    </w:p>
    <w:p w14:paraId="5FF470D1">
      <w:pPr>
        <w:adjustRightInd/>
        <w:spacing w:line="600" w:lineRule="exact"/>
        <w:ind w:firstLine="640" w:firstLineChars="200"/>
        <w:textAlignment w:val="auto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一、奖项设置和数量</w:t>
      </w:r>
    </w:p>
    <w:p w14:paraId="0F7FBC89">
      <w:pPr>
        <w:adjustRightInd/>
        <w:spacing w:line="600" w:lineRule="exact"/>
        <w:ind w:firstLine="640" w:firstLineChars="200"/>
        <w:textAlignment w:val="auto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2"/>
        </w:rPr>
        <w:t>本届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教育科学研究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专区（以下简称专区）</w:t>
      </w:r>
      <w:r>
        <w:rPr>
          <w:rFonts w:eastAsia="仿宋_GB2312"/>
          <w:sz w:val="32"/>
          <w:szCs w:val="36"/>
        </w:rPr>
        <w:t>设置著作论文奖、咨询服务报告奖、普及读物奖、青年成果奖。普及读物奖和青年成果奖不分等级，其他奖项分设一、二、三等奖。</w:t>
      </w:r>
    </w:p>
    <w:p w14:paraId="7A2A91BC">
      <w:pPr>
        <w:adjustRightInd/>
        <w:spacing w:line="600" w:lineRule="exact"/>
        <w:ind w:firstLine="640" w:firstLineChars="200"/>
        <w:textAlignment w:val="auto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2"/>
        </w:rPr>
        <w:t>专区</w:t>
      </w:r>
      <w:r>
        <w:rPr>
          <w:rFonts w:eastAsia="仿宋_GB2312"/>
          <w:sz w:val="32"/>
          <w:szCs w:val="36"/>
        </w:rPr>
        <w:t>奖励数量为190项。按照确保质量的要求，允许各类、各等级奖项有空缺</w:t>
      </w:r>
      <w:r>
        <w:rPr>
          <w:rFonts w:eastAsia="仿宋_GB2312"/>
          <w:sz w:val="32"/>
          <w:szCs w:val="32"/>
        </w:rPr>
        <w:t>。</w:t>
      </w:r>
    </w:p>
    <w:p w14:paraId="0C0B4BFE">
      <w:pPr>
        <w:adjustRightInd/>
        <w:spacing w:line="600" w:lineRule="exact"/>
        <w:ind w:firstLine="640" w:firstLineChars="200"/>
        <w:textAlignment w:val="auto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二、申报资格和要求</w:t>
      </w:r>
    </w:p>
    <w:p w14:paraId="4F90C06A">
      <w:pPr>
        <w:adjustRightInd/>
        <w:spacing w:line="600" w:lineRule="exact"/>
        <w:ind w:firstLine="640" w:firstLineChars="200"/>
        <w:textAlignment w:val="auto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参评成果范围为2021年1月1日至2024年12月31日期间著作、论文、咨询服务报告、普及读物，</w:t>
      </w:r>
      <w:r>
        <w:rPr>
          <w:rFonts w:eastAsia="仿宋_GB2312"/>
          <w:sz w:val="32"/>
          <w:szCs w:val="32"/>
        </w:rPr>
        <w:t>已获上届高校科学研究优秀成果奖（人文社会科学）的成果除外。具体申报资格和要求详见专区评奖工作实施办法</w:t>
      </w:r>
      <w:r>
        <w:rPr>
          <w:rFonts w:hint="eastAsia" w:eastAsia="仿宋_GB2312"/>
          <w:sz w:val="32"/>
          <w:szCs w:val="32"/>
        </w:rPr>
        <w:t>（附件4）</w:t>
      </w:r>
      <w:r>
        <w:rPr>
          <w:rFonts w:eastAsia="仿宋_GB2312"/>
          <w:sz w:val="32"/>
          <w:szCs w:val="32"/>
        </w:rPr>
        <w:t>有关规定。</w:t>
      </w:r>
    </w:p>
    <w:p w14:paraId="5C16F5EC">
      <w:pPr>
        <w:adjustRightInd/>
        <w:spacing w:line="600" w:lineRule="exact"/>
        <w:ind w:firstLine="640" w:firstLineChars="200"/>
        <w:textAlignment w:val="auto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三、申报单位和名额</w:t>
      </w:r>
    </w:p>
    <w:p w14:paraId="1EC5BF07">
      <w:pPr>
        <w:adjustRightIn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全规办受理二级管理单位的集中申报、审核和推荐，不直接受理个人申报。二级管理单位包括省级教育行政部门（指定各省级教育科学规划办公室具体负责），教育部直属高校、部省合建高校、其他有关部门（单位）所属高校、教育部直属单位等的科研管理部门，中央军委训练管理部军事教育局。各省级教育科学规划办公室组织地方高校、地方教育科研院所、地方教育行政部门、中小学校等的申报。</w:t>
      </w:r>
    </w:p>
    <w:p w14:paraId="4C1573C9">
      <w:pPr>
        <w:adjustRightIn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（二）专区评奖首次面向香港、澳门地区开放，相关工作安排另行通知。</w:t>
      </w:r>
    </w:p>
    <w:p w14:paraId="76024A53">
      <w:pPr>
        <w:adjustRightInd/>
        <w:spacing w:line="600" w:lineRule="exact"/>
        <w:ind w:firstLine="640" w:firstLineChars="200"/>
        <w:textAlignment w:val="auto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2"/>
        </w:rPr>
        <w:t>（三）专区评奖采取限额申报，具体申报名额详见全规办官方网站评奖申报系统。二级管理单位要充分动员、精心组织，规范申报程序，强化纪律监督，切实把好政治方向关和学术质量关，按照限额指标组织好本单位、本行政区域的推荐。</w:t>
      </w:r>
    </w:p>
    <w:p w14:paraId="0877F0CE">
      <w:pPr>
        <w:adjustRightInd/>
        <w:spacing w:line="600" w:lineRule="exact"/>
        <w:ind w:firstLine="640" w:firstLineChars="200"/>
        <w:textAlignment w:val="auto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四、申报办法和程序</w:t>
      </w:r>
    </w:p>
    <w:p w14:paraId="158A0489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（一）专区评奖采取网上申报。全规办官方网站（https://onsgep.moe.edu.cn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的评奖申报系统为专区评奖申报的网络平台。</w:t>
      </w:r>
      <w:r>
        <w:rPr>
          <w:rFonts w:eastAsia="仿宋_GB2312"/>
          <w:sz w:val="32"/>
          <w:szCs w:val="36"/>
        </w:rPr>
        <w:t>系统于</w:t>
      </w:r>
      <w:r>
        <w:rPr>
          <w:rFonts w:eastAsia="黑体"/>
          <w:sz w:val="32"/>
          <w:szCs w:val="36"/>
        </w:rPr>
        <w:t>2025年10月20日9时开放，</w:t>
      </w:r>
      <w:r>
        <w:rPr>
          <w:rFonts w:eastAsia="仿宋_GB2312"/>
          <w:sz w:val="32"/>
          <w:szCs w:val="36"/>
        </w:rPr>
        <w:t>申报限额和</w:t>
      </w:r>
      <w:r>
        <w:rPr>
          <w:rFonts w:eastAsia="仿宋_GB2312"/>
          <w:sz w:val="32"/>
          <w:szCs w:val="32"/>
        </w:rPr>
        <w:t>申报流程详见系统说明。</w:t>
      </w:r>
    </w:p>
    <w:p w14:paraId="20344D1F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（二）申报者访问（无需登录）全规办评奖申报系统，下载《第十届教育部科学研究优秀成果奖（人文社会科学）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教育科学研究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专区申报评审表》（以下简称《专区申报评审表》）进行填写。申报者将</w:t>
      </w:r>
      <w:r>
        <w:rPr>
          <w:rFonts w:eastAsia="仿宋_GB2312"/>
          <w:sz w:val="32"/>
          <w:szCs w:val="36"/>
        </w:rPr>
        <w:t>《</w:t>
      </w:r>
      <w:r>
        <w:rPr>
          <w:rFonts w:eastAsia="仿宋_GB2312"/>
          <w:sz w:val="32"/>
          <w:szCs w:val="32"/>
        </w:rPr>
        <w:t>专区申报评审表》的</w:t>
      </w:r>
      <w:r>
        <w:rPr>
          <w:rFonts w:eastAsia="仿宋_GB2312"/>
          <w:sz w:val="32"/>
          <w:szCs w:val="36"/>
        </w:rPr>
        <w:t>WORD版和加盖单位公章的PDF版（部属单位也可在完成推荐公示后再加盖公章）</w:t>
      </w:r>
      <w:r>
        <w:rPr>
          <w:rFonts w:eastAsia="仿宋_GB2312"/>
          <w:sz w:val="32"/>
          <w:szCs w:val="32"/>
        </w:rPr>
        <w:t>、成果及佐证材料的PDF版于</w:t>
      </w:r>
      <w:r>
        <w:rPr>
          <w:rFonts w:eastAsia="黑体"/>
          <w:sz w:val="32"/>
          <w:szCs w:val="32"/>
        </w:rPr>
        <w:t>11月6日前</w:t>
      </w:r>
      <w:r>
        <w:rPr>
          <w:rFonts w:eastAsia="仿宋_GB2312"/>
          <w:sz w:val="32"/>
          <w:szCs w:val="32"/>
        </w:rPr>
        <w:t>提交给二级管理单位。申报者个人须对提交内容的真实性和准确性负责。</w:t>
      </w:r>
    </w:p>
    <w:p w14:paraId="7C8A3C7F">
      <w:pPr>
        <w:spacing w:line="600" w:lineRule="exact"/>
        <w:ind w:firstLine="640" w:firstLineChars="200"/>
        <w:rPr>
          <w:rFonts w:eastAsia="仿宋_GB2312"/>
          <w:sz w:val="32"/>
          <w:szCs w:val="36"/>
        </w:rPr>
      </w:pPr>
      <w:bookmarkStart w:id="1" w:name="_Hlk205565978"/>
      <w:r>
        <w:rPr>
          <w:rFonts w:eastAsia="仿宋_GB2312"/>
          <w:sz w:val="32"/>
          <w:szCs w:val="32"/>
        </w:rPr>
        <w:t>（三）</w:t>
      </w:r>
      <w:r>
        <w:rPr>
          <w:rFonts w:eastAsia="仿宋_GB2312"/>
          <w:sz w:val="32"/>
          <w:szCs w:val="36"/>
        </w:rPr>
        <w:t>二级管理单位须按照申报限额，完成对申报成果的推荐，并对推荐材料进行</w:t>
      </w:r>
      <w:r>
        <w:rPr>
          <w:rFonts w:eastAsia="仿宋_GB2312"/>
          <w:sz w:val="32"/>
          <w:szCs w:val="32"/>
        </w:rPr>
        <w:t>第一轮</w:t>
      </w:r>
      <w:r>
        <w:rPr>
          <w:rFonts w:eastAsia="仿宋_GB2312"/>
          <w:sz w:val="32"/>
          <w:szCs w:val="36"/>
        </w:rPr>
        <w:t>公示</w:t>
      </w:r>
      <w:r>
        <w:rPr>
          <w:rFonts w:eastAsia="仿宋_GB2312"/>
          <w:sz w:val="32"/>
          <w:szCs w:val="32"/>
        </w:rPr>
        <w:t>，公示期不少于5个工作日。</w:t>
      </w:r>
      <w:r>
        <w:rPr>
          <w:rFonts w:eastAsia="黑体"/>
          <w:sz w:val="32"/>
          <w:szCs w:val="36"/>
        </w:rPr>
        <w:t>11月26日17时前</w:t>
      </w:r>
      <w:r>
        <w:rPr>
          <w:rFonts w:eastAsia="仿宋_GB2312"/>
          <w:sz w:val="32"/>
          <w:szCs w:val="36"/>
        </w:rPr>
        <w:t>，须将完成公示的推荐材料（《</w:t>
      </w:r>
      <w:r>
        <w:rPr>
          <w:rFonts w:eastAsia="仿宋_GB2312"/>
          <w:sz w:val="32"/>
          <w:szCs w:val="32"/>
        </w:rPr>
        <w:t>专区申报评审表》的</w:t>
      </w:r>
      <w:r>
        <w:rPr>
          <w:rFonts w:eastAsia="仿宋_GB2312"/>
          <w:sz w:val="32"/>
          <w:szCs w:val="36"/>
        </w:rPr>
        <w:t>WORD版和加盖公章的PDF版</w:t>
      </w:r>
      <w:r>
        <w:rPr>
          <w:rFonts w:eastAsia="仿宋_GB2312"/>
          <w:sz w:val="32"/>
          <w:szCs w:val="32"/>
        </w:rPr>
        <w:t>、成果及佐证材料的PDF版</w:t>
      </w:r>
      <w:r>
        <w:rPr>
          <w:rFonts w:eastAsia="仿宋_GB2312"/>
          <w:sz w:val="32"/>
          <w:szCs w:val="36"/>
        </w:rPr>
        <w:t>）和《推荐成果汇总表》上传系统，提交至全规办。</w:t>
      </w:r>
    </w:p>
    <w:p w14:paraId="3CF8BAB7">
      <w:pPr>
        <w:spacing w:line="600" w:lineRule="exact"/>
        <w:ind w:firstLine="640" w:firstLineChars="20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《推荐成果汇总表》由系统自动生成，须加盖二级管理单位公章，扫描为PDF版上传。</w:t>
      </w:r>
    </w:p>
    <w:p w14:paraId="4CDAA455">
      <w:pPr>
        <w:spacing w:line="600" w:lineRule="exact"/>
        <w:ind w:firstLine="640" w:firstLineChars="20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未经公示或公示异议尚未完成核查处理的推荐材料不予受理。在系统中提交至全规办的所有材料均视为经过各级单位审核同意。</w:t>
      </w:r>
    </w:p>
    <w:p w14:paraId="52439532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6"/>
        </w:rPr>
        <w:t>《专区申报评审表》、成果及佐证材料、《推荐成果汇总表》均无需给全规办寄送纸质版。</w:t>
      </w:r>
    </w:p>
    <w:p w14:paraId="7C4249A5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二级管理单位须对推荐材料进行审核。审核重点：1.成果是否坚持正确的政治方向、价值取向和研究导向；2.成果是否符合学术道德和学术规范，有无知识产权等方面的争议；3.成果是否涉及国家秘密；4.申报资格是否符合有关规定，推荐材料是否真实。如发现不符合规定或弄虚作假情形，一经核实取消推荐资格。</w:t>
      </w:r>
    </w:p>
    <w:p w14:paraId="7E671517">
      <w:pPr>
        <w:spacing w:line="600" w:lineRule="exact"/>
        <w:ind w:firstLine="640" w:firstLineChars="20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（五）</w:t>
      </w:r>
      <w:r>
        <w:rPr>
          <w:rFonts w:eastAsia="仿宋_GB2312"/>
          <w:sz w:val="32"/>
          <w:szCs w:val="32"/>
        </w:rPr>
        <w:t>全规办对各二级管理单位报送的推荐材料依据申报要求进行初审。初审结果通过评奖申报系统向各二级管理单位反馈，由各单位进行第二轮公示并核查，公示期不少于10个工作日。公示合格的推荐材料由全规办组织专家进行复审。</w:t>
      </w:r>
    </w:p>
    <w:p w14:paraId="3C64D206">
      <w:pPr>
        <w:spacing w:line="600" w:lineRule="exact"/>
        <w:ind w:firstLine="640" w:firstLineChars="20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（六）</w:t>
      </w:r>
      <w:r>
        <w:rPr>
          <w:rFonts w:eastAsia="仿宋_GB2312"/>
          <w:sz w:val="32"/>
          <w:szCs w:val="32"/>
        </w:rPr>
        <w:t>国防军事教育科学研究成果单列单评，由中央军委训练管理部军事教育局负责，</w:t>
      </w:r>
      <w:r>
        <w:rPr>
          <w:rFonts w:eastAsia="仿宋_GB2312"/>
          <w:sz w:val="32"/>
          <w:szCs w:val="36"/>
        </w:rPr>
        <w:t>不使用上述评奖申报系统，</w:t>
      </w:r>
      <w:r>
        <w:rPr>
          <w:rFonts w:eastAsia="仿宋_GB2312"/>
          <w:sz w:val="32"/>
          <w:szCs w:val="32"/>
        </w:rPr>
        <w:t>其申报和评审参照本工作安排执行</w:t>
      </w:r>
      <w:r>
        <w:rPr>
          <w:rFonts w:eastAsia="仿宋_GB2312"/>
          <w:sz w:val="32"/>
          <w:szCs w:val="36"/>
        </w:rPr>
        <w:t>。</w:t>
      </w:r>
    </w:p>
    <w:p w14:paraId="064CF25B">
      <w:pPr>
        <w:widowControl/>
        <w:adjustRightIn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全规办联系电话：010－62003307/62008930</w:t>
      </w:r>
    </w:p>
    <w:p w14:paraId="1FAAB312">
      <w:pPr>
        <w:widowControl/>
        <w:adjustRightIn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电子邮箱：</w:t>
      </w:r>
      <w:r>
        <w:rPr>
          <w:rFonts w:eastAsia="仿宋_GB2312"/>
          <w:sz w:val="32"/>
          <w:szCs w:val="32"/>
        </w:rPr>
        <w:fldChar w:fldCharType="begin"/>
      </w:r>
      <w:r>
        <w:rPr>
          <w:rFonts w:eastAsia="仿宋_GB2312"/>
          <w:sz w:val="32"/>
          <w:szCs w:val="32"/>
        </w:rPr>
        <w:instrText xml:space="preserve"> HYPERLINK "mailto:qgb@moe.edu.cn" </w:instrText>
      </w:r>
      <w:r>
        <w:rPr>
          <w:rFonts w:eastAsia="仿宋_GB2312"/>
          <w:sz w:val="32"/>
          <w:szCs w:val="32"/>
        </w:rPr>
        <w:fldChar w:fldCharType="separate"/>
      </w:r>
      <w:r>
        <w:rPr>
          <w:rFonts w:eastAsia="仿宋_GB2312"/>
          <w:sz w:val="32"/>
          <w:szCs w:val="32"/>
        </w:rPr>
        <w:t>qgb@moe.edu.cn</w:t>
      </w:r>
      <w:r>
        <w:rPr>
          <w:rFonts w:eastAsia="仿宋_GB2312"/>
          <w:sz w:val="32"/>
          <w:szCs w:val="32"/>
        </w:rPr>
        <w:fldChar w:fldCharType="end"/>
      </w:r>
    </w:p>
    <w:bookmarkEnd w:id="1"/>
    <w:p w14:paraId="6C597A77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CC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2025-10-17T08:45:30Z</dcterms:created>
  <dc:creator>NJU</dc:creator>
  <cp:lastModifiedBy>乔紫乐</cp:lastModifiedBy>
  <dcterms:modified xsi:type="dcterms:W3CDTF">2025-10-17T08:45:42Z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eyJoZGlkIjoiOTQ1MDY5YWYyYzUyMWE3ZGIzZmNmNDEyMWY1NWIxNTMiLCJ1c2VySWQiOiIxNjkyNjczMTYxIn0=</vt:lpwstr>
  </property>
  <property fmtid="{D5CDD505-2E9C-101B-9397-08002B2CF9AE}" pid="4" name="ICV">
    <vt:lpwstr>B06A78AD1CA1418F9278C4C0A65FCF54_12</vt:lpwstr>
  </property>
</Properties>
</file>