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CFD3">
      <w:pPr>
        <w:widowControl/>
        <w:spacing w:line="360" w:lineRule="auto"/>
        <w:jc w:val="center"/>
        <w:rPr>
          <w:rFonts w:hint="eastAsia" w:ascii="方正小标宋简体" w:hAnsi="方正小标宋简体" w:eastAsia="方正小标宋简体" w:cs="方正小标宋简体"/>
          <w:bCs/>
          <w:color w:val="auto"/>
          <w:sz w:val="36"/>
          <w:szCs w:val="36"/>
          <w:highlight w:val="none"/>
        </w:rPr>
      </w:pPr>
      <w:bookmarkStart w:id="0" w:name="_GoBack"/>
      <w:bookmarkEnd w:id="0"/>
      <w:r>
        <w:rPr>
          <w:rFonts w:hint="eastAsia" w:ascii="方正小标宋简体" w:hAnsi="方正小标宋简体" w:eastAsia="方正小标宋简体" w:cs="方正小标宋简体"/>
          <w:bCs/>
          <w:color w:val="auto"/>
          <w:sz w:val="36"/>
          <w:szCs w:val="36"/>
          <w:highlight w:val="none"/>
        </w:rPr>
        <w:t>2026年全国教育科学规划</w:t>
      </w:r>
    </w:p>
    <w:p w14:paraId="4D61D6B2">
      <w:pPr>
        <w:widowControl/>
        <w:spacing w:line="360" w:lineRule="auto"/>
        <w:jc w:val="center"/>
        <w:rPr>
          <w:rFonts w:hint="eastAsia"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学生发展研究专项指南</w:t>
      </w:r>
    </w:p>
    <w:p w14:paraId="242005D2">
      <w:pPr>
        <w:widowControl/>
        <w:spacing w:line="360" w:lineRule="auto"/>
        <w:rPr>
          <w:rFonts w:hint="eastAsia" w:ascii="方正小标宋简体" w:hAnsi="方正小标宋简体" w:eastAsia="方正小标宋简体" w:cs="方正小标宋简体"/>
          <w:bCs/>
          <w:color w:val="auto"/>
          <w:sz w:val="36"/>
          <w:szCs w:val="36"/>
          <w:highlight w:val="none"/>
        </w:rPr>
      </w:pPr>
    </w:p>
    <w:p w14:paraId="48848BA2">
      <w:pPr>
        <w:spacing w:line="360" w:lineRule="auto"/>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学生发展研究专项包括</w:t>
      </w:r>
      <w:r>
        <w:rPr>
          <w:rFonts w:hint="eastAsia" w:ascii="Times New Roman" w:hAnsi="Times New Roman" w:eastAsia="仿宋_GB2312" w:cs="Times New Roman"/>
          <w:color w:val="auto"/>
          <w:sz w:val="32"/>
          <w:szCs w:val="32"/>
          <w:highlight w:val="none"/>
        </w:rPr>
        <w:t>重大、</w:t>
      </w:r>
      <w:r>
        <w:rPr>
          <w:rFonts w:ascii="Times New Roman" w:hAnsi="Times New Roman" w:eastAsia="仿宋_GB2312" w:cs="Times New Roman"/>
          <w:color w:val="auto"/>
          <w:sz w:val="32"/>
          <w:szCs w:val="32"/>
          <w:highlight w:val="none"/>
        </w:rPr>
        <w:t>重点和一般项目。申报专项须从指南中选题，并按照指南意图进行研究设计。自拟选题不予受理。原则上每个选题只确立1个立项项目。重大、重点项目研究期限为2年，一般项目研究期限为1年，不得延期。</w:t>
      </w:r>
    </w:p>
    <w:p w14:paraId="06847CB3">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1.高等教育数据资源运营机制和路径研究（重大）</w:t>
      </w:r>
    </w:p>
    <w:p w14:paraId="72631F96">
      <w:pPr>
        <w:widowControl/>
        <w:numPr>
          <w:ilvl w:val="255"/>
          <w:numId w:val="0"/>
        </w:numPr>
        <w:spacing w:line="360" w:lineRule="auto"/>
        <w:ind w:firstLine="64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对高等教育相关领域数据的现状开展调研；（2）研究符合高等教育数据资源特征的、分层分类的价格机制，探索其成本构成和动态变化特征及关键驱动因素；（3）研究高等教育数据资源多元的市场需求与发展趋势、当前教育数据资源开发利用面临的困境等；（4）研究高等教育相关数据资源运营的案例经验、以及其对相关数据资源从政府引导到市场主导的运营价格机制的启示；（5）基于“特性分析—现状诊断—成本收益解构—市场研判—机制设计—路径规划”逻辑链条研究短期、中期和长期的完整运营体系、实现路径和制度保障。</w:t>
      </w:r>
    </w:p>
    <w:p w14:paraId="1C01E3A7">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2.促进高校毕业生高质量充分就业的就业创业政策研究（重点）</w:t>
      </w:r>
    </w:p>
    <w:p w14:paraId="7BDBE9CA">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分析高校毕业生就业创业政策的实施现状、成效与问题；（2）研究高校毕业生就业创业政策演变历程及实施效果评估方法；（3）研究基层就业、灵活就业、创业扶持等重点领域政策优化路径；（4）研究数字经济、乡村振兴等新领域就业潜力挖掘与拓展机制；（5）研究政企校协同育人、协同就业、协同服务的创新机制。</w:t>
      </w:r>
    </w:p>
    <w:p w14:paraId="44DE3FDF">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3.“以学生为中心”的学生全面发展服务支持体系研究（重点）</w:t>
      </w:r>
    </w:p>
    <w:p w14:paraId="543859AD">
      <w:pPr>
        <w:widowControl/>
        <w:numPr>
          <w:ilvl w:val="255"/>
          <w:numId w:val="0"/>
        </w:numPr>
        <w:spacing w:line="360" w:lineRule="auto"/>
        <w:ind w:firstLine="640" w:firstLineChars="200"/>
        <w:jc w:val="left"/>
        <w:rPr>
          <w:rStyle w:val="7"/>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阐释新时代“以学生为中心”的概念、内涵、特征；（2）分析“以学生为中心”的大中小学生全面发展服务支持体系的构成要素；（3）探究大中小学生全面发展的协同促进机制；（4）重点从学习、素质发展、服务、资源、保障支持等维度，探索构建“以学生为中心”的系统实施方案和实践路径。</w:t>
      </w:r>
    </w:p>
    <w:p w14:paraId="0FEFE208">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4.“投资于人”战略视角下高等教育人才供需适配理论与实践研究（一般）</w:t>
      </w:r>
    </w:p>
    <w:p w14:paraId="47B3A996">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（1）基于宏观数据与调研，分析我国人才供需</w:t>
      </w:r>
      <w:r>
        <w:rPr>
          <w:rFonts w:hint="eastAsia" w:ascii="仿宋_GB2312" w:hAnsi="仿宋_GB2312" w:eastAsia="仿宋_GB2312" w:cs="仿宋_GB2312"/>
          <w:color w:val="auto"/>
          <w:sz w:val="32"/>
          <w:szCs w:val="32"/>
          <w:highlight w:val="none"/>
          <w:lang w:val="en-US" w:eastAsia="zh-CN" w:bidi="ar"/>
        </w:rPr>
        <w:t>适配</w:t>
      </w:r>
      <w:r>
        <w:rPr>
          <w:rFonts w:hint="eastAsia" w:ascii="仿宋_GB2312" w:hAnsi="仿宋_GB2312" w:eastAsia="仿宋_GB2312" w:cs="仿宋_GB2312"/>
          <w:color w:val="auto"/>
          <w:sz w:val="32"/>
          <w:szCs w:val="32"/>
          <w:highlight w:val="none"/>
          <w:lang w:bidi="ar"/>
        </w:rPr>
        <w:t>的现状及影响；（2）识别并分析制约人才供需高水平动态平衡的多维因素；（3）落实“投资于人”战略，构建“政校企生”多维视角理论模型；（4）提出政策制定、高校</w:t>
      </w:r>
      <w:r>
        <w:rPr>
          <w:rFonts w:hint="eastAsia" w:ascii="仿宋_GB2312" w:hAnsi="仿宋_GB2312" w:eastAsia="仿宋_GB2312" w:cs="仿宋_GB2312"/>
          <w:color w:val="auto"/>
          <w:sz w:val="32"/>
          <w:szCs w:val="32"/>
          <w:highlight w:val="none"/>
        </w:rPr>
        <w:t>改革等实践路径。</w:t>
      </w:r>
    </w:p>
    <w:p w14:paraId="245408A6">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5.以美育促进小学生心理健康的课程开发与实施路径研究（一般）</w:t>
      </w:r>
    </w:p>
    <w:p w14:paraId="6EB72C82">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（1）深入研究美育与心理健康教育融合的理论基础，构建符合儿童发展规律的</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美术-心理</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双维课程模型，明确课程目标与内容框架；（2）系统开发适用于小学的表达性艺术治疗活动资源包，包括课程教案、教学素材、评估工具及配套的师资培训方案，形成完整的教学支持体系；（3）建立科学有效的课程评价机制，研发涵盖创造力发展、情绪调节能力等方面的简单有效、适合小学生的心理健康评估工具；（4）探索可复制、可推广的区域实施路径，形成从课程开发、师资培训、教学实施到效果评估的一体化实施方案，为学校教育实践提供参考。</w:t>
      </w:r>
    </w:p>
    <w:p w14:paraId="212AD4B2">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6.数智环境下体系化协同教学推进学生素质发展研究（一般）</w:t>
      </w:r>
    </w:p>
    <w:p w14:paraId="3C268360">
      <w:pPr>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跨地域名师群体群智协同模式研究；（2）名师引领下基于设计行动研究模式研究；（3）乡村教师素养育人专业实践能力发展成效研究；（4）大规模教师群智协同下学生素养发展效果研究。最终形成体系化协同教学新范式。</w:t>
      </w:r>
    </w:p>
    <w:p w14:paraId="53EB2FC3">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7.人才培养供需适配机制改革评价指标体系与监测系统构建研究（一般）</w:t>
      </w:r>
    </w:p>
    <w:p w14:paraId="56AF39DD">
      <w:pPr>
        <w:widowControl/>
        <w:numPr>
          <w:ilvl w:val="255"/>
          <w:numId w:val="0"/>
        </w:numPr>
        <w:spacing w:line="360" w:lineRule="auto"/>
        <w:ind w:firstLine="640"/>
        <w:jc w:val="left"/>
        <w:rPr>
          <w:rStyle w:val="7"/>
          <w:rFonts w:hint="eastAsia" w:ascii="仿宋_GB2312" w:hAnsi="仿宋_GB2312" w:eastAsia="仿宋_GB2312" w:cs="仿宋_GB2312"/>
          <w:bCs/>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依托省域或区域高等教育人才供需数据，梳理供需适配机制改革试点现状与问题；（2）构建科学可操作的多维度多层级改革评价指标体系，涵盖供给侧（高校学科专业、培养方案等）与需求侧（产业岗位、技能要求等）；（3）融合大数据技术，设计智能监测系统架构、功能模块，实现数据归集、动态监测与结果反馈，做到评价指标可量化、监测过程可追溯、改革成效可评估；（4）</w:t>
      </w:r>
      <w:r>
        <w:rPr>
          <w:rFonts w:hint="eastAsia" w:ascii="仿宋_GB2312" w:hAnsi="仿宋_GB2312" w:eastAsia="仿宋_GB2312" w:cs="仿宋_GB2312"/>
          <w:color w:val="auto"/>
          <w:sz w:val="32"/>
          <w:szCs w:val="32"/>
          <w:highlight w:val="none"/>
        </w:rPr>
        <w:t>提出监测结果与招生计划、培养方案、高质量就业的联动政策建议。</w:t>
      </w:r>
    </w:p>
    <w:p w14:paraId="1B3E90C0">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8.高校“招生-培养-就业”联动机制研究（一般）</w:t>
      </w:r>
    </w:p>
    <w:p w14:paraId="1415283C">
      <w:pPr>
        <w:widowControl/>
        <w:numPr>
          <w:ilvl w:val="255"/>
          <w:numId w:val="0"/>
        </w:numPr>
        <w:spacing w:line="360" w:lineRule="auto"/>
        <w:ind w:firstLine="64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研究高校招生、培养、就业政策的制定依据和影响因素；（2）分析人才培养环节的目标差异和结构特点；（3）研究高校内部招生、培养、就业部门之间的协作方式和沟通机制；（4）研究政府、社会机构在推动高校“招生-培养-就业”联动机制中的作用和方式；（5）构建适应我国高校人才培养模式的“招生-培养-就业”全链条协同机制。</w:t>
      </w:r>
    </w:p>
    <w:p w14:paraId="57339A29">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9.高中生涯教育实践模式与成效评价研究（一般）</w:t>
      </w:r>
    </w:p>
    <w:p w14:paraId="2280DE41">
      <w:pPr>
        <w:spacing w:line="360" w:lineRule="auto"/>
        <w:ind w:firstLine="640" w:firstLineChars="200"/>
        <w:jc w:val="left"/>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探索符合学生需求的高中生涯教育实践模式，为学校提供实践指南，提升生涯教育的针对性与实效性；（2）结合实践模式，提出高中生涯教育成效评价指标和方法；（3）研发培训课程体系，为高中教师提升生涯教育专业能力和水平提供支撑。</w:t>
      </w:r>
    </w:p>
    <w:p w14:paraId="05664968">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10.高校生涯教育与就业指导课程创新实践研究（一般）</w:t>
      </w:r>
    </w:p>
    <w:p w14:paraId="4E868E1C">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探索具有时代特征、适应中国国情和文化的生涯教育与就业指导课程内容体系；（2）以就业育人为导向，基于校情、学情探索校本化课程实践路径；（3）构建多形式、多维度、体现生涯教育特色的课程成效评价体系。</w:t>
      </w:r>
    </w:p>
    <w:p w14:paraId="11B36AFF">
      <w:pPr>
        <w:pStyle w:val="2"/>
        <w:keepNext w:val="0"/>
        <w:keepLines w:val="0"/>
        <w:widowControl/>
        <w:spacing w:line="360" w:lineRule="auto"/>
        <w:ind w:firstLine="640"/>
        <w:rPr>
          <w:rFonts w:hint="eastAsia" w:ascii="黑体" w:hAnsi="黑体" w:cs="黑体"/>
          <w:color w:val="auto"/>
          <w:szCs w:val="32"/>
          <w:highlight w:val="none"/>
        </w:rPr>
      </w:pPr>
      <w:r>
        <w:rPr>
          <w:rFonts w:hint="eastAsia" w:ascii="黑体" w:hAnsi="黑体" w:cs="黑体"/>
          <w:color w:val="auto"/>
          <w:szCs w:val="32"/>
          <w:highlight w:val="none"/>
        </w:rPr>
        <w:t>11.高等教育人才供需适配评价研究（一般）</w:t>
      </w:r>
    </w:p>
    <w:p w14:paraId="61BE20E1">
      <w:pPr>
        <w:numPr>
          <w:ilvl w:val="255"/>
          <w:numId w:val="0"/>
        </w:numPr>
        <w:spacing w:line="360" w:lineRule="auto"/>
        <w:ind w:firstLine="643"/>
        <w:jc w:val="left"/>
        <w:rPr>
          <w:color w:val="auto"/>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rPr>
        <w:t>（1）研究高等教育人才供给与经济社会发展需求适配的核心内涵、本质特征及影响机理，构建中国特色高等教育人才供需适配评价理论框架，重点基于就业视角深入分析；（2）研究编制省域、高校人才供需适配评价指标体系，选取不少于2个省份开展省域人才供需适配分析，选取不少于4所不同类型高校开展校级人才供需适配分析；（3）提出高等教育人才供需适配优化策略与政策建议，为国家人才供需对接大数据平台建设提供核心支撑。</w:t>
      </w:r>
    </w:p>
    <w:p w14:paraId="0C7B2F34">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C5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96D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E96D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521F3"/>
    <w:rsid w:val="029167E5"/>
    <w:rsid w:val="04D31D7F"/>
    <w:rsid w:val="1A535957"/>
    <w:rsid w:val="4AC512EA"/>
    <w:rsid w:val="52102850"/>
    <w:rsid w:val="53F521F3"/>
    <w:rsid w:val="55A00C00"/>
    <w:rsid w:val="5D7455F2"/>
    <w:rsid w:val="7A70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line="578" w:lineRule="exact"/>
      <w:ind w:firstLine="880" w:firstLineChars="200"/>
      <w:outlineLvl w:val="1"/>
    </w:pPr>
    <w:rPr>
      <w:rFonts w:ascii="Arial" w:hAnsi="Arial" w:eastAsia="黑体"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2220</Words>
  <Characters>2236</Characters>
  <Lines>0</Lines>
  <Paragraphs>0</Paragraphs>
  <TotalTime>0</TotalTime>
  <ScaleCrop>false</ScaleCrop>
  <LinksUpToDate>false</LinksUpToDate>
  <CharactersWithSpaces>2236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2026-05-25T07:47:00Z</dcterms:created>
  <dc:creator>姜雨婷</dc:creator>
  <cp:lastModifiedBy>聆心</cp:lastModifiedBy>
  <dcterms:modified xsi:type="dcterms:W3CDTF">2026-06-02T03:16:23Z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592DC065112C4C7E83587AAFF089EE58_13</vt:lpwstr>
  </property>
  <property fmtid="{D5CDD505-2E9C-101B-9397-08002B2CF9AE}" pid="4" name="KSOTemplateDocerSaveRecord">
    <vt:lpwstr>eyJoZGlkIjoiMmRhOTQ1ODgwNGJlNDdhMWYyMzYwNTI2MDdmMmM4MWQiLCJ1c2VySWQiOiIzNTQyMjIwODIifQ==</vt:lpwstr>
  </property>
</Properties>
</file>