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1、批示、采纳、三报一刊、省级主流媒体登记流程：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登录科研管理系统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成果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人文社科成果登记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新增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选择成果分类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填写基本信息并在相关文档中上传证明材料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1621155"/>
            <wp:effectExtent l="0" t="0" r="6350" b="952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2、奖励登记流程：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登录科研管理系统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default"/>
          <w:lang w:val="en-US" w:eastAsia="zh-CN"/>
        </w:rPr>
        <w:t>成果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奖励申报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新增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/>
          <w:lang w:val="en-US" w:eastAsia="zh-CN"/>
        </w:rPr>
        <w:t>填写奖励信息并在附件中上传证明材料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4785" cy="2172335"/>
            <wp:effectExtent l="0" t="0" r="8255" b="6985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2825750"/>
            <wp:effectExtent l="0" t="0" r="6350" b="8890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RiMDU1MzVmNmU1MzYwODMzODdhODBiNzQxOWIifQ=="/>
  </w:docVars>
  <w:rsids>
    <w:rsidRoot w:val="23B017DA"/>
    <w:rsid w:val="01F31C37"/>
    <w:rsid w:val="23B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2024-01-11T03:17:00Z</dcterms:created>
  <dc:creator>神算半仙</dc:creator>
  <cp:lastModifiedBy>神算半仙</cp:lastModifiedBy>
  <dcterms:modified xsi:type="dcterms:W3CDTF">2024-01-11T06:57:34Z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22D2DAB79324496BB21DE04E1A3CAAB3_11</vt:lpwstr>
  </property>
</Properties>
</file>