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关于安徽省社会科学界第十</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届（</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学术年会的征文通知</w:t>
      </w:r>
    </w:p>
    <w:p>
      <w:pPr>
        <w:spacing w:line="560" w:lineRule="exact"/>
        <w:rPr>
          <w:rFonts w:ascii="??_GB2312" w:eastAsia="Times New Roman" w:cs="??_GB2312"/>
          <w:sz w:val="30"/>
          <w:szCs w:val="30"/>
        </w:rPr>
      </w:pPr>
      <w:r>
        <w:rPr>
          <w:rFonts w:ascii="??_GB2312" w:eastAsia="Times New Roman" w:cs="??_GB2312"/>
          <w:sz w:val="30"/>
          <w:szCs w:val="30"/>
        </w:rPr>
        <w:t xml:space="preserve">  </w:t>
      </w:r>
    </w:p>
    <w:p>
      <w:pPr>
        <w:keepNext w:val="0"/>
        <w:keepLines w:val="0"/>
        <w:pageBreakBefore w:val="0"/>
        <w:kinsoku/>
        <w:wordWrap/>
        <w:overflowPunct/>
        <w:topLinePunct w:val="0"/>
        <w:autoSpaceDE/>
        <w:autoSpaceDN/>
        <w:bidi w:val="0"/>
        <w:adjustRightInd/>
        <w:snapToGrid/>
        <w:spacing w:line="520" w:lineRule="exact"/>
        <w:jc w:val="both"/>
        <w:textAlignment w:val="auto"/>
        <w:rPr>
          <w:rFonts w:ascii="仿宋" w:hAnsi="仿宋" w:eastAsia="仿宋" w:cs="Times New Roman"/>
          <w:sz w:val="32"/>
          <w:szCs w:val="32"/>
        </w:rPr>
      </w:pPr>
      <w:r>
        <w:rPr>
          <w:rFonts w:hint="eastAsia" w:ascii="仿宋" w:hAnsi="仿宋" w:eastAsia="仿宋" w:cs="仿宋"/>
          <w:sz w:val="32"/>
          <w:szCs w:val="32"/>
        </w:rPr>
        <w:t>各高校、各社科类社会组织、各市社科联，省直有关单位：</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2024年是中华人民共和国成立75周年，是实现“十四五”规划目标任务的关键一年。全省社科界要坚持以习近平新时代中国特色社会主义思想为指导，</w:t>
      </w:r>
      <w:r>
        <w:rPr>
          <w:rFonts w:hint="eastAsia" w:ascii="仿宋" w:hAnsi="仿宋" w:eastAsia="仿宋" w:cs="仿宋"/>
          <w:sz w:val="32"/>
          <w:szCs w:val="32"/>
          <w:lang w:eastAsia="zh-CN"/>
        </w:rPr>
        <w:t>全面贯彻落实</w:t>
      </w:r>
      <w:r>
        <w:rPr>
          <w:rFonts w:hint="eastAsia" w:ascii="仿宋" w:hAnsi="仿宋" w:eastAsia="仿宋" w:cs="仿宋"/>
          <w:sz w:val="32"/>
          <w:szCs w:val="32"/>
        </w:rPr>
        <w:t>党的</w:t>
      </w:r>
      <w:r>
        <w:rPr>
          <w:rFonts w:hint="eastAsia" w:ascii="仿宋" w:hAnsi="仿宋" w:eastAsia="仿宋" w:cs="仿宋"/>
          <w:sz w:val="32"/>
          <w:szCs w:val="32"/>
          <w:lang w:eastAsia="zh-CN"/>
        </w:rPr>
        <w:t>二十大和</w:t>
      </w:r>
      <w:r>
        <w:rPr>
          <w:rFonts w:hint="eastAsia" w:ascii="仿宋" w:hAnsi="仿宋" w:eastAsia="仿宋" w:cs="仿宋"/>
          <w:sz w:val="32"/>
          <w:szCs w:val="32"/>
        </w:rPr>
        <w:t>二十届</w:t>
      </w:r>
      <w:r>
        <w:rPr>
          <w:rFonts w:hint="eastAsia" w:ascii="仿宋" w:hAnsi="仿宋" w:eastAsia="仿宋" w:cs="仿宋"/>
          <w:sz w:val="32"/>
          <w:szCs w:val="32"/>
          <w:lang w:eastAsia="zh-CN"/>
        </w:rPr>
        <w:t>二中、</w:t>
      </w:r>
      <w:r>
        <w:rPr>
          <w:rFonts w:hint="eastAsia" w:ascii="仿宋" w:hAnsi="仿宋" w:eastAsia="仿宋" w:cs="仿宋"/>
          <w:sz w:val="32"/>
          <w:szCs w:val="32"/>
        </w:rPr>
        <w:t>三中全会精神，</w:t>
      </w:r>
      <w:r>
        <w:rPr>
          <w:rFonts w:hint="eastAsia" w:ascii="仿宋" w:hAnsi="仿宋" w:eastAsia="仿宋" w:cs="仿宋"/>
          <w:sz w:val="32"/>
          <w:szCs w:val="32"/>
          <w:lang w:eastAsia="zh-CN"/>
        </w:rPr>
        <w:t>深入贯彻落实习近平文化思想，</w:t>
      </w:r>
      <w:r>
        <w:rPr>
          <w:rFonts w:hint="eastAsia" w:ascii="仿宋" w:hAnsi="仿宋" w:eastAsia="仿宋" w:cs="仿宋"/>
          <w:sz w:val="32"/>
          <w:szCs w:val="32"/>
        </w:rPr>
        <w:t>牢记习近平总书记赋予安徽“争当击楫中流的改革先锋”“打造改革开放新高</w:t>
      </w:r>
      <w:r>
        <w:rPr>
          <w:rFonts w:hint="eastAsia" w:ascii="仿宋" w:hAnsi="仿宋" w:eastAsia="仿宋" w:cs="仿宋"/>
          <w:sz w:val="32"/>
          <w:szCs w:val="32"/>
          <w:lang w:eastAsia="zh-CN"/>
        </w:rPr>
        <w:t>地</w:t>
      </w:r>
      <w:r>
        <w:rPr>
          <w:rFonts w:hint="eastAsia" w:ascii="仿宋" w:hAnsi="仿宋" w:eastAsia="仿宋" w:cs="仿宋"/>
          <w:sz w:val="32"/>
          <w:szCs w:val="32"/>
        </w:rPr>
        <w:t>”的使命任务，发扬改革创新、敢为人先的小岗精神，重点围绕党的二十届三中全会精神及我省重大工作部署和现实需求，统筹推进理论阐释、学术研究、决策咨询“三驾马车”同向发力，力争推出一批高质量、有影响力的研究成果，争当文化建设的第一战队、科学决策的第一智库、群众诉求的第一反映者，切实以有为实现有位，努力为安徽改革谱新篇，以实际行动赋能中国式现代化的安徽实践。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）学术年会主题是：“</w:t>
      </w:r>
      <w:r>
        <w:rPr>
          <w:rFonts w:hint="eastAsia" w:ascii="仿宋" w:hAnsi="仿宋" w:eastAsia="仿宋" w:cs="仿宋"/>
          <w:b/>
          <w:bCs/>
          <w:sz w:val="32"/>
          <w:szCs w:val="32"/>
        </w:rPr>
        <w:t>推进中国式现代化  谱写安徽改革新篇</w:t>
      </w:r>
      <w:r>
        <w:rPr>
          <w:rFonts w:hint="eastAsia" w:ascii="仿宋" w:hAnsi="仿宋" w:eastAsia="仿宋" w:cs="仿宋"/>
          <w:sz w:val="32"/>
          <w:szCs w:val="32"/>
        </w:rPr>
        <w:t>”。现就有关事项通知如下：</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一、征文要求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坚持正确的政治方向，紧紧围绕学习贯彻习近平总书记关于全面深化改革的一系列新思想、新观点、新论断，以研究阐释</w:t>
      </w:r>
      <w:r>
        <w:rPr>
          <w:rFonts w:hint="default" w:ascii="仿宋" w:hAnsi="仿宋" w:eastAsia="仿宋" w:cs="仿宋"/>
          <w:sz w:val="32"/>
          <w:szCs w:val="32"/>
          <w:lang w:val="en" w:eastAsia="zh-CN"/>
        </w:rPr>
        <w:t>:</w:t>
      </w:r>
      <w:r>
        <w:rPr>
          <w:rFonts w:hint="eastAsia" w:ascii="仿宋" w:hAnsi="仿宋" w:eastAsia="仿宋" w:cs="仿宋"/>
          <w:sz w:val="32"/>
          <w:szCs w:val="32"/>
        </w:rPr>
        <w:t>党的领导是全面深化改革</w:t>
      </w:r>
      <w:r>
        <w:rPr>
          <w:rFonts w:hint="eastAsia" w:ascii="仿宋" w:hAnsi="仿宋" w:eastAsia="仿宋" w:cs="仿宋"/>
          <w:sz w:val="32"/>
          <w:szCs w:val="32"/>
          <w:lang w:eastAsia="zh-CN"/>
        </w:rPr>
        <w:t>、</w:t>
      </w:r>
      <w:r>
        <w:rPr>
          <w:rFonts w:hint="eastAsia" w:ascii="仿宋" w:hAnsi="仿宋" w:eastAsia="仿宋" w:cs="仿宋"/>
          <w:sz w:val="32"/>
          <w:szCs w:val="32"/>
        </w:rPr>
        <w:t>推进中国式现代化的根本保证</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全面深化改革是推进中国式现代化的根本动力</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全面深化改革必须坚持走中国特色社会主义道路</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全面深化改革要坚持以人民为中心的根本立场</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全面深化改革的总目标</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全面深化改革要抓</w:t>
      </w:r>
      <w:r>
        <w:rPr>
          <w:rFonts w:hint="eastAsia" w:ascii="仿宋" w:hAnsi="仿宋" w:eastAsia="仿宋" w:cs="仿宋"/>
          <w:sz w:val="32"/>
          <w:szCs w:val="32"/>
          <w:lang w:eastAsia="zh-CN"/>
        </w:rPr>
        <w:t>住</w:t>
      </w:r>
      <w:r>
        <w:rPr>
          <w:rFonts w:hint="eastAsia" w:ascii="仿宋" w:hAnsi="仿宋" w:eastAsia="仿宋" w:cs="仿宋"/>
          <w:sz w:val="32"/>
          <w:szCs w:val="32"/>
        </w:rPr>
        <w:t>经济体制改革这个“牛鼻子”</w:t>
      </w:r>
      <w:r>
        <w:rPr>
          <w:rFonts w:hint="eastAsia" w:ascii="仿宋" w:hAnsi="仿宋" w:eastAsia="仿宋" w:cs="仿宋"/>
          <w:sz w:val="32"/>
          <w:szCs w:val="32"/>
          <w:lang w:val="en" w:eastAsia="zh-CN"/>
        </w:rPr>
        <w:t>；</w:t>
      </w:r>
      <w:r>
        <w:rPr>
          <w:rFonts w:hint="eastAsia" w:ascii="仿宋" w:hAnsi="仿宋" w:eastAsia="仿宋" w:cs="仿宋"/>
          <w:sz w:val="32"/>
          <w:szCs w:val="32"/>
        </w:rPr>
        <w:t>坚持以开放促改革促发展，统筹推进深层次改革和高水平开放</w:t>
      </w:r>
      <w:r>
        <w:rPr>
          <w:rFonts w:hint="eastAsia" w:ascii="仿宋" w:hAnsi="仿宋" w:eastAsia="仿宋" w:cs="仿宋"/>
          <w:sz w:val="32"/>
          <w:szCs w:val="32"/>
          <w:lang w:val="en" w:eastAsia="zh-CN"/>
        </w:rPr>
        <w:t>；</w:t>
      </w:r>
      <w:r>
        <w:rPr>
          <w:rFonts w:hint="eastAsia" w:ascii="仿宋" w:hAnsi="仿宋" w:eastAsia="仿宋" w:cs="仿宋"/>
          <w:sz w:val="32"/>
          <w:szCs w:val="32"/>
        </w:rPr>
        <w:t>坚持在法治轨道上深化改革，把制度优势转化为治理效能</w:t>
      </w:r>
      <w:r>
        <w:rPr>
          <w:rFonts w:hint="eastAsia" w:ascii="仿宋" w:hAnsi="仿宋" w:eastAsia="仿宋" w:cs="仿宋"/>
          <w:sz w:val="32"/>
          <w:szCs w:val="32"/>
          <w:lang w:val="en" w:eastAsia="zh-CN"/>
        </w:rPr>
        <w:t>；</w:t>
      </w:r>
      <w:r>
        <w:rPr>
          <w:rFonts w:hint="eastAsia" w:ascii="仿宋" w:hAnsi="仿宋" w:eastAsia="仿宋" w:cs="仿宋"/>
          <w:sz w:val="32"/>
          <w:szCs w:val="32"/>
        </w:rPr>
        <w:t>推动全面深化改革必须凝聚更广泛的共识</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全面深化改革必须坚持正确的思想方法和工作方法</w:t>
      </w:r>
      <w:r>
        <w:rPr>
          <w:rFonts w:hint="eastAsia" w:ascii="仿宋" w:hAnsi="仿宋" w:eastAsia="仿宋" w:cs="仿宋"/>
          <w:sz w:val="32"/>
          <w:szCs w:val="32"/>
          <w:lang w:eastAsia="zh-CN"/>
        </w:rPr>
        <w:t>等</w:t>
      </w:r>
      <w:r>
        <w:rPr>
          <w:rFonts w:hint="eastAsia" w:ascii="仿宋" w:hAnsi="仿宋" w:eastAsia="仿宋" w:cs="仿宋"/>
          <w:sz w:val="32"/>
          <w:szCs w:val="32"/>
        </w:rPr>
        <w:t>内容为重点，紧密结合安徽实际，坚持问题导向，</w:t>
      </w:r>
      <w:r>
        <w:rPr>
          <w:rFonts w:hint="eastAsia" w:ascii="仿宋" w:hAnsi="仿宋" w:eastAsia="仿宋" w:cs="仿宋"/>
          <w:sz w:val="32"/>
          <w:szCs w:val="32"/>
          <w:lang w:val="en-US" w:eastAsia="zh-CN"/>
        </w:rPr>
        <w:t>聚焦</w:t>
      </w:r>
      <w:r>
        <w:rPr>
          <w:rFonts w:hint="default" w:ascii="仿宋" w:hAnsi="仿宋" w:eastAsia="仿宋" w:cs="仿宋"/>
          <w:sz w:val="32"/>
          <w:szCs w:val="32"/>
          <w:lang w:val="en-US" w:eastAsia="zh-CN"/>
        </w:rPr>
        <w:t>安徽经济社会发展</w:t>
      </w:r>
      <w:r>
        <w:rPr>
          <w:rFonts w:hint="eastAsia" w:ascii="仿宋" w:hAnsi="仿宋" w:eastAsia="仿宋" w:cs="仿宋"/>
          <w:sz w:val="32"/>
          <w:szCs w:val="32"/>
          <w:lang w:val="en-US" w:eastAsia="zh-CN"/>
        </w:rPr>
        <w:t>中</w:t>
      </w:r>
      <w:r>
        <w:rPr>
          <w:rFonts w:hint="default" w:ascii="仿宋" w:hAnsi="仿宋" w:eastAsia="仿宋" w:cs="仿宋"/>
          <w:sz w:val="32"/>
          <w:szCs w:val="32"/>
          <w:lang w:val="en-US" w:eastAsia="zh-CN"/>
        </w:rPr>
        <w:t>的重大理论和实践问题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论文题目自拟，应符合年会主题</w:t>
      </w:r>
      <w:r>
        <w:rPr>
          <w:rFonts w:hint="eastAsia" w:ascii="仿宋" w:hAnsi="仿宋" w:eastAsia="仿宋" w:cs="仿宋"/>
          <w:sz w:val="32"/>
          <w:szCs w:val="32"/>
          <w:lang w:eastAsia="zh-CN"/>
        </w:rPr>
        <w:t>、专场选题</w:t>
      </w:r>
      <w:r>
        <w:rPr>
          <w:rFonts w:hint="eastAsia" w:ascii="仿宋" w:hAnsi="仿宋" w:eastAsia="仿宋" w:cs="仿宋"/>
          <w:sz w:val="32"/>
          <w:szCs w:val="32"/>
        </w:rPr>
        <w:t>和征文要求，注意突出学术导向、学术原创、学术规范，篇幅原则上在</w:t>
      </w:r>
      <w:r>
        <w:rPr>
          <w:rFonts w:ascii="仿宋" w:hAnsi="仿宋" w:eastAsia="仿宋" w:cs="仿宋"/>
          <w:sz w:val="32"/>
          <w:szCs w:val="32"/>
        </w:rPr>
        <w:t>8000-12000</w:t>
      </w:r>
      <w:r>
        <w:rPr>
          <w:rFonts w:hint="eastAsia" w:ascii="仿宋" w:hAnsi="仿宋" w:eastAsia="仿宋" w:cs="仿宋"/>
          <w:sz w:val="32"/>
          <w:szCs w:val="32"/>
        </w:rPr>
        <w:t>字之间，并在正文前附</w:t>
      </w:r>
      <w:r>
        <w:rPr>
          <w:rFonts w:ascii="仿宋" w:hAnsi="仿宋" w:eastAsia="仿宋" w:cs="仿宋"/>
          <w:sz w:val="32"/>
          <w:szCs w:val="32"/>
        </w:rPr>
        <w:t>300</w:t>
      </w:r>
      <w:r>
        <w:rPr>
          <w:rFonts w:hint="eastAsia" w:ascii="仿宋" w:hAnsi="仿宋" w:eastAsia="仿宋" w:cs="仿宋"/>
          <w:sz w:val="32"/>
          <w:szCs w:val="32"/>
        </w:rPr>
        <w:t>字左右内容提要及关键词。引文和史料应注明出处（统一要求为页下注）。</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必须是本省区域内的个人或集体的社会科学领域研究成果，未公开发表</w:t>
      </w:r>
      <w:r>
        <w:rPr>
          <w:rFonts w:hint="eastAsia" w:ascii="仿宋" w:hAnsi="仿宋" w:eastAsia="仿宋" w:cs="仿宋"/>
          <w:sz w:val="32"/>
          <w:szCs w:val="32"/>
          <w:lang w:eastAsia="zh-CN"/>
        </w:rPr>
        <w:t>（征文截止日期前）</w:t>
      </w:r>
      <w:r>
        <w:rPr>
          <w:rFonts w:hint="eastAsia" w:ascii="仿宋" w:hAnsi="仿宋" w:eastAsia="仿宋" w:cs="仿宋"/>
          <w:sz w:val="32"/>
          <w:szCs w:val="32"/>
        </w:rPr>
        <w:t>的原创成果</w:t>
      </w:r>
      <w:r>
        <w:rPr>
          <w:rFonts w:ascii="仿宋" w:hAnsi="仿宋" w:eastAsia="仿宋" w:cs="仿宋"/>
          <w:sz w:val="32"/>
          <w:szCs w:val="32"/>
        </w:rPr>
        <w:t>(</w:t>
      </w:r>
      <w:r>
        <w:rPr>
          <w:rFonts w:hint="eastAsia" w:ascii="仿宋" w:hAnsi="仿宋" w:eastAsia="仿宋" w:cs="仿宋"/>
          <w:sz w:val="32"/>
          <w:szCs w:val="32"/>
        </w:rPr>
        <w:t>重复率不得超过</w:t>
      </w:r>
      <w:r>
        <w:rPr>
          <w:rFonts w:ascii="仿宋" w:hAnsi="仿宋" w:eastAsia="仿宋" w:cs="仿宋"/>
          <w:sz w:val="32"/>
          <w:szCs w:val="32"/>
        </w:rPr>
        <w:t>15%)</w:t>
      </w:r>
      <w:r>
        <w:rPr>
          <w:rFonts w:hint="eastAsia" w:ascii="仿宋" w:hAnsi="仿宋" w:eastAsia="仿宋" w:cs="仿宋"/>
          <w:sz w:val="32"/>
          <w:szCs w:val="32"/>
        </w:rPr>
        <w:t>，不存在知识产权争议，不涉及保密问题。每位作者</w:t>
      </w:r>
      <w:r>
        <w:rPr>
          <w:rFonts w:hint="eastAsia" w:ascii="仿宋" w:hAnsi="仿宋" w:eastAsia="仿宋" w:cs="仿宋"/>
          <w:sz w:val="32"/>
          <w:szCs w:val="32"/>
          <w:lang w:eastAsia="zh-CN"/>
        </w:rPr>
        <w:t>仅能选择一个专场并</w:t>
      </w:r>
      <w:r>
        <w:rPr>
          <w:rFonts w:hint="eastAsia" w:ascii="仿宋" w:hAnsi="仿宋" w:eastAsia="仿宋" w:cs="仿宋"/>
          <w:sz w:val="32"/>
          <w:szCs w:val="32"/>
        </w:rPr>
        <w:t>限报一项</w:t>
      </w:r>
      <w:r>
        <w:rPr>
          <w:rFonts w:hint="eastAsia" w:ascii="仿宋" w:hAnsi="仿宋" w:eastAsia="仿宋" w:cs="仿宋"/>
          <w:sz w:val="32"/>
          <w:szCs w:val="32"/>
          <w:lang w:eastAsia="zh-CN"/>
        </w:rPr>
        <w:t>成果，重复投稿不予受理。</w:t>
      </w:r>
      <w:r>
        <w:rPr>
          <w:rFonts w:hint="eastAsia" w:ascii="仿宋" w:hAnsi="仿宋" w:eastAsia="仿宋" w:cs="仿宋"/>
          <w:sz w:val="32"/>
          <w:szCs w:val="32"/>
        </w:rPr>
        <w:t>与他人合作的成果，且本人不为第一作者，可由合作者另行申报1项。</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方正仿宋_GBK" w:hAnsi="方正仿宋_GBK" w:eastAsia="方正仿宋_GBK" w:cs="方正仿宋_GBK"/>
          <w:sz w:val="32"/>
          <w:szCs w:val="32"/>
          <w:lang w:eastAsia="zh-CN"/>
        </w:rPr>
        <w:t>为鼓励和促进社科青年学者成长，搭建社科青年学者学术交流平台，</w:t>
      </w:r>
      <w:r>
        <w:rPr>
          <w:rFonts w:hint="eastAsia" w:ascii="方正仿宋_GBK" w:hAnsi="方正仿宋_GBK" w:eastAsia="方正仿宋_GBK" w:cs="方正仿宋_GBK"/>
          <w:sz w:val="32"/>
          <w:szCs w:val="32"/>
          <w:lang w:val="en-US" w:eastAsia="zh-CN"/>
        </w:rPr>
        <w:t>2024年度学术年会</w:t>
      </w:r>
      <w:r>
        <w:rPr>
          <w:rFonts w:hint="eastAsia" w:ascii="方正仿宋_GBK" w:hAnsi="方正仿宋_GBK" w:eastAsia="方正仿宋_GBK" w:cs="方正仿宋_GBK"/>
          <w:sz w:val="32"/>
          <w:szCs w:val="32"/>
          <w:lang w:eastAsia="zh-CN"/>
        </w:rPr>
        <w:t>特设</w:t>
      </w:r>
      <w:r>
        <w:rPr>
          <w:rFonts w:hint="eastAsia" w:ascii="方正仿宋_GBK" w:hAnsi="方正仿宋_GBK" w:eastAsia="方正仿宋_GBK" w:cs="方正仿宋_GBK"/>
          <w:b/>
          <w:bCs/>
          <w:sz w:val="32"/>
          <w:szCs w:val="32"/>
          <w:lang w:eastAsia="zh-CN"/>
        </w:rPr>
        <w:t>青年专场</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二、优秀论文评审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年会学术委员会对应征论文进行评审，</w:t>
      </w:r>
      <w:r>
        <w:rPr>
          <w:rFonts w:hint="eastAsia" w:ascii="仿宋" w:hAnsi="仿宋" w:eastAsia="仿宋" w:cs="仿宋"/>
          <w:sz w:val="32"/>
          <w:szCs w:val="32"/>
          <w:lang w:eastAsia="zh-CN"/>
        </w:rPr>
        <w:t>设一、二、三等奖。</w:t>
      </w:r>
      <w:r>
        <w:rPr>
          <w:rFonts w:hint="eastAsia" w:ascii="仿宋" w:hAnsi="仿宋" w:eastAsia="仿宋" w:cs="仿宋"/>
          <w:b/>
          <w:bCs/>
          <w:sz w:val="32"/>
          <w:szCs w:val="32"/>
        </w:rPr>
        <w:t>一、二等奖为我省高校科研奖励项目，列入高校教师专业技术资格科研奖励分类</w:t>
      </w:r>
      <w:r>
        <w:rPr>
          <w:rFonts w:hint="eastAsia" w:ascii="仿宋" w:hAnsi="仿宋" w:eastAsia="仿宋" w:cs="仿宋"/>
          <w:b/>
          <w:bCs/>
          <w:sz w:val="32"/>
          <w:szCs w:val="32"/>
          <w:lang w:eastAsia="zh-CN"/>
        </w:rPr>
        <w:t>目录</w:t>
      </w:r>
      <w:r>
        <w:rPr>
          <w:rFonts w:hint="eastAsia" w:ascii="仿宋" w:hAnsi="仿宋" w:eastAsia="仿宋" w:cs="仿宋"/>
          <w:b/>
          <w:bCs/>
          <w:sz w:val="32"/>
          <w:szCs w:val="32"/>
        </w:rPr>
        <w:t>，奖励等级为三类</w:t>
      </w:r>
      <w:r>
        <w:rPr>
          <w:rFonts w:hint="eastAsia" w:ascii="仿宋" w:hAnsi="仿宋" w:eastAsia="仿宋" w:cs="仿宋"/>
          <w:b/>
          <w:bCs/>
          <w:sz w:val="32"/>
          <w:szCs w:val="32"/>
          <w:lang w:eastAsia="zh-CN"/>
        </w:rPr>
        <w:t>。青年专场单设青年奖项。</w:t>
      </w:r>
      <w:r>
        <w:rPr>
          <w:rFonts w:hint="eastAsia" w:ascii="仿宋" w:hAnsi="仿宋" w:eastAsia="仿宋" w:cs="仿宋"/>
          <w:sz w:val="32"/>
          <w:szCs w:val="32"/>
        </w:rPr>
        <w:t>优秀论文集不再公开出版。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三、征文时间与报送方式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即日起至</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日。论文由作者用电子邮件发送至各专场邮箱（详见选题指南），并将邮件标题标示为“第十</w:t>
      </w:r>
      <w:r>
        <w:rPr>
          <w:rFonts w:hint="eastAsia" w:ascii="仿宋" w:hAnsi="仿宋" w:eastAsia="仿宋" w:cs="仿宋"/>
          <w:sz w:val="32"/>
          <w:szCs w:val="32"/>
          <w:lang w:eastAsia="zh-CN"/>
        </w:rPr>
        <w:t>九</w:t>
      </w:r>
      <w:r>
        <w:rPr>
          <w:rFonts w:hint="eastAsia" w:ascii="仿宋" w:hAnsi="仿宋" w:eastAsia="仿宋" w:cs="仿宋"/>
          <w:sz w:val="32"/>
          <w:szCs w:val="32"/>
        </w:rPr>
        <w:t>届安徽省社科界学术年会征文”；填写附件</w:t>
      </w:r>
      <w:r>
        <w:rPr>
          <w:rFonts w:ascii="仿宋" w:hAnsi="仿宋" w:eastAsia="仿宋" w:cs="仿宋"/>
          <w:sz w:val="32"/>
          <w:szCs w:val="32"/>
        </w:rPr>
        <w:t>2</w:t>
      </w:r>
      <w:r>
        <w:rPr>
          <w:rFonts w:hint="eastAsia" w:ascii="仿宋" w:hAnsi="仿宋" w:eastAsia="仿宋" w:cs="仿宋"/>
          <w:sz w:val="32"/>
          <w:szCs w:val="32"/>
          <w:lang w:eastAsia="zh-CN"/>
        </w:rPr>
        <w:t>或</w:t>
      </w:r>
      <w:r>
        <w:rPr>
          <w:rFonts w:hint="eastAsia" w:ascii="仿宋" w:hAnsi="仿宋" w:eastAsia="仿宋" w:cs="仿宋"/>
          <w:sz w:val="32"/>
          <w:szCs w:val="32"/>
          <w:lang w:val="en-US" w:eastAsia="zh-CN"/>
        </w:rPr>
        <w:t>3</w:t>
      </w:r>
      <w:r>
        <w:rPr>
          <w:rFonts w:hint="eastAsia" w:ascii="仿宋" w:hAnsi="仿宋" w:eastAsia="仿宋" w:cs="仿宋"/>
          <w:sz w:val="32"/>
          <w:szCs w:val="32"/>
        </w:rPr>
        <w:t>，并加盖公章后以扫描或照片形式与电子版一同报送。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年会学术委员会秘书处设在省社科联学会工作处，相关问题请电话咨询。联系电话：</w:t>
      </w:r>
      <w:r>
        <w:rPr>
          <w:rFonts w:ascii="仿宋" w:hAnsi="仿宋" w:eastAsia="仿宋" w:cs="仿宋"/>
          <w:sz w:val="32"/>
          <w:szCs w:val="32"/>
        </w:rPr>
        <w:t>0551—63420163</w:t>
      </w:r>
      <w:r>
        <w:rPr>
          <w:rFonts w:hint="eastAsia" w:ascii="仿宋" w:hAnsi="仿宋" w:eastAsia="仿宋" w:cs="仿宋"/>
          <w:sz w:val="32"/>
          <w:szCs w:val="32"/>
        </w:rPr>
        <w:t>。年会选题指南可在省社科联网站</w:t>
      </w:r>
      <w:r>
        <w:rPr>
          <w:rFonts w:ascii="仿宋" w:hAnsi="仿宋" w:eastAsia="仿宋" w:cs="仿宋"/>
          <w:sz w:val="32"/>
          <w:szCs w:val="32"/>
        </w:rPr>
        <w:t>www.ahskj.org.cn</w:t>
      </w:r>
      <w:r>
        <w:rPr>
          <w:rFonts w:hint="eastAsia" w:ascii="仿宋" w:hAnsi="仿宋" w:eastAsia="仿宋" w:cs="仿宋"/>
          <w:sz w:val="32"/>
          <w:szCs w:val="32"/>
        </w:rPr>
        <w:t>下载。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w:t>
      </w:r>
    </w:p>
    <w:p>
      <w:pPr>
        <w:keepNext w:val="0"/>
        <w:keepLines w:val="0"/>
        <w:pageBreakBefore w:val="0"/>
        <w:kinsoku/>
        <w:wordWrap/>
        <w:overflowPunct/>
        <w:topLinePunct w:val="0"/>
        <w:autoSpaceDE/>
        <w:autoSpaceDN/>
        <w:bidi w:val="0"/>
        <w:adjustRightInd/>
        <w:snapToGrid/>
        <w:spacing w:line="520" w:lineRule="exact"/>
        <w:ind w:left="1596" w:leftChars="760" w:firstLine="320" w:firstLineChars="100"/>
        <w:textAlignment w:val="auto"/>
        <w:rPr>
          <w:rFonts w:ascii="仿宋" w:hAnsi="仿宋" w:eastAsia="仿宋" w:cs="Times New Roman"/>
          <w:sz w:val="32"/>
          <w:szCs w:val="32"/>
        </w:rPr>
      </w:pPr>
      <w:r>
        <w:rPr>
          <w:rFonts w:hint="eastAsia" w:ascii="仿宋" w:hAnsi="仿宋" w:eastAsia="仿宋" w:cs="仿宋"/>
          <w:sz w:val="32"/>
          <w:szCs w:val="32"/>
        </w:rPr>
        <w:t>选题指南</w:t>
      </w:r>
    </w:p>
    <w:p>
      <w:pPr>
        <w:keepNext w:val="0"/>
        <w:keepLines w:val="0"/>
        <w:pageBreakBefore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w:t>
      </w:r>
      <w:r>
        <w:rPr>
          <w:rFonts w:hint="eastAsia" w:ascii="仿宋" w:hAnsi="仿宋" w:eastAsia="仿宋" w:cs="仿宋"/>
          <w:sz w:val="32"/>
          <w:szCs w:val="32"/>
          <w:lang w:eastAsia="zh-CN"/>
        </w:rPr>
        <w:t>会</w:t>
      </w:r>
    </w:p>
    <w:p>
      <w:pPr>
        <w:keepNext w:val="0"/>
        <w:keepLines w:val="0"/>
        <w:pageBreakBefore w:val="0"/>
        <w:kinsoku/>
        <w:wordWrap/>
        <w:overflowPunct/>
        <w:topLinePunct w:val="0"/>
        <w:autoSpaceDE/>
        <w:autoSpaceDN/>
        <w:bidi w:val="0"/>
        <w:adjustRightInd/>
        <w:snapToGrid/>
        <w:spacing w:line="520" w:lineRule="exact"/>
        <w:ind w:left="1915" w:leftChars="912"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征文申报表</w:t>
      </w:r>
      <w:r>
        <w:rPr>
          <w:rFonts w:hint="eastAsia" w:ascii="仿宋" w:hAnsi="仿宋" w:eastAsia="仿宋" w:cs="仿宋"/>
          <w:sz w:val="32"/>
          <w:szCs w:val="32"/>
          <w:lang w:eastAsia="zh-CN"/>
        </w:rPr>
        <w:t>（第一、第二、第三专场）</w:t>
      </w:r>
    </w:p>
    <w:p>
      <w:pPr>
        <w:keepNext w:val="0"/>
        <w:keepLines w:val="0"/>
        <w:pageBreakBefore w:val="0"/>
        <w:kinsoku/>
        <w:wordWrap/>
        <w:overflowPunct/>
        <w:topLinePunct w:val="0"/>
        <w:autoSpaceDE/>
        <w:autoSpaceDN/>
        <w:bidi w:val="0"/>
        <w:adjustRightInd/>
        <w:snapToGrid/>
        <w:spacing w:line="520" w:lineRule="exact"/>
        <w:ind w:left="1596" w:leftChars="76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w:t>
      </w:r>
    </w:p>
    <w:p>
      <w:pPr>
        <w:keepNext w:val="0"/>
        <w:keepLines w:val="0"/>
        <w:pageBreakBefore w:val="0"/>
        <w:kinsoku/>
        <w:wordWrap/>
        <w:overflowPunct/>
        <w:topLinePunct w:val="0"/>
        <w:autoSpaceDE/>
        <w:autoSpaceDN/>
        <w:bidi w:val="0"/>
        <w:adjustRightInd/>
        <w:snapToGrid/>
        <w:spacing w:line="520" w:lineRule="exact"/>
        <w:ind w:left="1596" w:leftChars="76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征文申报表</w:t>
      </w:r>
      <w:r>
        <w:rPr>
          <w:rFonts w:hint="eastAsia" w:ascii="仿宋" w:hAnsi="仿宋" w:eastAsia="仿宋" w:cs="仿宋"/>
          <w:sz w:val="32"/>
          <w:szCs w:val="32"/>
          <w:lang w:eastAsia="zh-CN"/>
        </w:rPr>
        <w:t>（青年专场）</w:t>
      </w:r>
    </w:p>
    <w:p>
      <w:pPr>
        <w:keepNext w:val="0"/>
        <w:keepLines w:val="0"/>
        <w:pageBreakBefore w:val="0"/>
        <w:kinsoku/>
        <w:wordWrap/>
        <w:overflowPunct/>
        <w:topLinePunct w:val="0"/>
        <w:autoSpaceDE/>
        <w:autoSpaceDN/>
        <w:bidi w:val="0"/>
        <w:adjustRightInd/>
        <w:snapToGrid/>
        <w:spacing w:line="500" w:lineRule="exact"/>
        <w:rPr>
          <w:rFonts w:cs="Times New Roman"/>
        </w:rPr>
      </w:pP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0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安徽省社会科学界联合会</w:t>
      </w:r>
    </w:p>
    <w:p>
      <w:pPr>
        <w:keepNext w:val="0"/>
        <w:keepLines w:val="0"/>
        <w:pageBreakBefore w:val="0"/>
        <w:kinsoku/>
        <w:wordWrap/>
        <w:overflowPunct/>
        <w:topLinePunct w:val="0"/>
        <w:autoSpaceDE/>
        <w:autoSpaceDN/>
        <w:bidi w:val="0"/>
        <w:adjustRightInd/>
        <w:snapToGrid/>
        <w:spacing w:line="500" w:lineRule="exact"/>
        <w:ind w:firstLine="5120" w:firstLineChars="16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rPr>
          <w:rFonts w:ascii="仿宋" w:hAnsi="仿宋" w:eastAsia="仿宋" w:cs="Times New Roman"/>
          <w:b/>
          <w:bCs/>
          <w:sz w:val="44"/>
          <w:szCs w:val="44"/>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安徽省社会科学界第十</w:t>
      </w:r>
      <w:r>
        <w:rPr>
          <w:rFonts w:hint="eastAsia" w:ascii="方正小标宋简体" w:hAnsi="仿宋" w:eastAsia="方正小标宋简体" w:cs="方正小标宋简体"/>
          <w:sz w:val="44"/>
          <w:szCs w:val="44"/>
          <w:lang w:eastAsia="zh-CN"/>
        </w:rPr>
        <w:t>九</w:t>
      </w:r>
      <w:r>
        <w:rPr>
          <w:rFonts w:hint="eastAsia" w:ascii="方正小标宋简体" w:hAnsi="仿宋" w:eastAsia="方正小标宋简体" w:cs="方正小标宋简体"/>
          <w:sz w:val="44"/>
          <w:szCs w:val="44"/>
        </w:rPr>
        <w:t>届（</w:t>
      </w:r>
      <w:r>
        <w:rPr>
          <w:rFonts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lang w:val="en-US" w:eastAsia="zh-CN"/>
        </w:rPr>
        <w:t>4</w:t>
      </w:r>
      <w:r>
        <w:rPr>
          <w:rFonts w:hint="eastAsia" w:ascii="方正小标宋简体" w:hAnsi="仿宋" w:eastAsia="方正小标宋简体" w:cs="方正小标宋简体"/>
          <w:sz w:val="44"/>
          <w:szCs w:val="44"/>
        </w:rPr>
        <w:t>）</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学术年会选题指南</w:t>
      </w:r>
    </w:p>
    <w:p>
      <w:pPr>
        <w:spacing w:line="560" w:lineRule="exact"/>
        <w:rPr>
          <w:rFonts w:ascii="仿宋" w:hAnsi="仿宋" w:eastAsia="仿宋"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rPr>
        <w:t>学术年会大会拟于</w:t>
      </w:r>
      <w:r>
        <w:rPr>
          <w:rFonts w:ascii="仿宋" w:hAnsi="仿宋" w:eastAsia="仿宋" w:cs="仿宋"/>
          <w:sz w:val="32"/>
          <w:szCs w:val="32"/>
        </w:rPr>
        <w:t>12</w:t>
      </w:r>
      <w:r>
        <w:rPr>
          <w:rFonts w:hint="eastAsia" w:ascii="仿宋" w:hAnsi="仿宋" w:eastAsia="仿宋" w:cs="仿宋"/>
          <w:sz w:val="32"/>
          <w:szCs w:val="32"/>
        </w:rPr>
        <w:t>月中旬在合肥举行，由省社科联主办；设</w:t>
      </w:r>
      <w:r>
        <w:rPr>
          <w:rFonts w:hint="eastAsia" w:ascii="仿宋" w:hAnsi="仿宋" w:eastAsia="仿宋" w:cs="仿宋"/>
          <w:sz w:val="32"/>
          <w:szCs w:val="32"/>
          <w:lang w:eastAsia="zh-CN"/>
        </w:rPr>
        <w:t>四</w:t>
      </w:r>
      <w:r>
        <w:rPr>
          <w:rFonts w:hint="eastAsia" w:ascii="仿宋" w:hAnsi="仿宋" w:eastAsia="仿宋" w:cs="仿宋"/>
          <w:sz w:val="32"/>
          <w:szCs w:val="32"/>
        </w:rPr>
        <w:t>个专场，分别由</w:t>
      </w:r>
      <w:r>
        <w:rPr>
          <w:rFonts w:hint="eastAsia" w:ascii="仿宋" w:hAnsi="仿宋" w:eastAsia="仿宋" w:cs="仿宋"/>
          <w:sz w:val="32"/>
          <w:szCs w:val="32"/>
          <w:lang w:eastAsia="zh-CN"/>
        </w:rPr>
        <w:t>宿州学院</w:t>
      </w:r>
      <w:r>
        <w:rPr>
          <w:rFonts w:hint="eastAsia" w:ascii="仿宋" w:hAnsi="仿宋" w:eastAsia="仿宋" w:cs="仿宋"/>
          <w:sz w:val="32"/>
          <w:szCs w:val="32"/>
        </w:rPr>
        <w:t>、安徽</w:t>
      </w:r>
      <w:r>
        <w:rPr>
          <w:rFonts w:hint="eastAsia" w:ascii="仿宋" w:hAnsi="仿宋" w:eastAsia="仿宋" w:cs="仿宋"/>
          <w:sz w:val="32"/>
          <w:szCs w:val="32"/>
          <w:lang w:eastAsia="zh-CN"/>
        </w:rPr>
        <w:t>工程</w:t>
      </w:r>
      <w:r>
        <w:rPr>
          <w:rFonts w:hint="eastAsia" w:ascii="仿宋" w:hAnsi="仿宋" w:eastAsia="仿宋" w:cs="仿宋"/>
          <w:sz w:val="32"/>
          <w:szCs w:val="32"/>
        </w:rPr>
        <w:t>大学</w:t>
      </w:r>
      <w:r>
        <w:rPr>
          <w:rFonts w:hint="eastAsia" w:ascii="仿宋" w:hAnsi="仿宋" w:eastAsia="仿宋" w:cs="仿宋"/>
          <w:sz w:val="32"/>
          <w:szCs w:val="32"/>
          <w:lang w:eastAsia="zh-CN"/>
        </w:rPr>
        <w:t>、巢湖</w:t>
      </w:r>
      <w:r>
        <w:rPr>
          <w:rFonts w:hint="eastAsia" w:ascii="仿宋" w:hAnsi="仿宋" w:eastAsia="仿宋" w:cs="仿宋"/>
          <w:sz w:val="32"/>
          <w:szCs w:val="32"/>
        </w:rPr>
        <w:t>学院</w:t>
      </w:r>
      <w:r>
        <w:rPr>
          <w:rFonts w:hint="eastAsia" w:ascii="仿宋" w:hAnsi="仿宋" w:eastAsia="仿宋" w:cs="仿宋"/>
          <w:sz w:val="32"/>
          <w:szCs w:val="32"/>
          <w:lang w:eastAsia="zh-CN"/>
        </w:rPr>
        <w:t>和</w:t>
      </w:r>
      <w:r>
        <w:rPr>
          <w:rFonts w:hint="eastAsia" w:ascii="仿宋" w:hAnsi="仿宋" w:eastAsia="仿宋" w:cs="仿宋"/>
          <w:sz w:val="32"/>
          <w:szCs w:val="32"/>
        </w:rPr>
        <w:t>省社科界青年学者协会承办，拟于</w:t>
      </w:r>
      <w:r>
        <w:rPr>
          <w:rFonts w:ascii="仿宋" w:hAnsi="仿宋" w:eastAsia="仿宋" w:cs="仿宋"/>
          <w:sz w:val="32"/>
          <w:szCs w:val="32"/>
        </w:rPr>
        <w:t>11</w:t>
      </w:r>
      <w:r>
        <w:rPr>
          <w:rFonts w:hint="eastAsia" w:ascii="仿宋" w:hAnsi="仿宋" w:eastAsia="仿宋" w:cs="仿宋"/>
          <w:sz w:val="32"/>
          <w:szCs w:val="32"/>
        </w:rPr>
        <w:t>月在承办单位</w:t>
      </w:r>
      <w:r>
        <w:rPr>
          <w:rFonts w:hint="eastAsia" w:ascii="仿宋" w:hAnsi="仿宋" w:eastAsia="仿宋" w:cs="仿宋"/>
          <w:sz w:val="32"/>
          <w:szCs w:val="32"/>
          <w:lang w:eastAsia="zh-CN"/>
        </w:rPr>
        <w:t>所在地</w:t>
      </w:r>
      <w:r>
        <w:rPr>
          <w:rFonts w:hint="eastAsia" w:ascii="仿宋" w:hAnsi="仿宋" w:eastAsia="仿宋" w:cs="仿宋"/>
          <w:sz w:val="32"/>
          <w:szCs w:val="32"/>
        </w:rPr>
        <w:t>举办。年会专场选题指南供参考。</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一专场</w:t>
      </w:r>
      <w:r>
        <w:rPr>
          <w:rFonts w:hint="eastAsia" w:ascii="黑体" w:hAnsi="黑体" w:eastAsia="黑体" w:cs="黑体"/>
          <w:sz w:val="32"/>
          <w:szCs w:val="32"/>
          <w:lang w:eastAsia="zh-CN"/>
        </w:rPr>
        <w:t>：进一步</w:t>
      </w:r>
      <w:r>
        <w:rPr>
          <w:rFonts w:hint="eastAsia" w:ascii="黑体" w:hAnsi="黑体" w:eastAsia="黑体" w:cs="黑体"/>
          <w:sz w:val="32"/>
          <w:szCs w:val="32"/>
        </w:rPr>
        <w:t>全面深化改革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激发内生发展动力</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（政治法律哲学社会党建等学科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宿州学院承办）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1.习近平总书记关于全面深化改革的重要论述研究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2.中国式现代化与改革开放的互动关系研究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3.进一步全面深化改革为中国式现代化提供强大动力和制度保障研究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中国式现代化在安徽</w:t>
      </w:r>
      <w:r>
        <w:rPr>
          <w:rFonts w:hint="eastAsia" w:ascii="仿宋" w:hAnsi="仿宋" w:eastAsia="仿宋" w:cs="仿宋"/>
          <w:bCs/>
          <w:sz w:val="32"/>
          <w:szCs w:val="32"/>
        </w:rPr>
        <w:t>生动实践</w:t>
      </w:r>
      <w:r>
        <w:rPr>
          <w:rFonts w:hint="eastAsia" w:ascii="仿宋" w:hAnsi="仿宋" w:eastAsia="仿宋" w:cs="仿宋"/>
          <w:bCs/>
          <w:sz w:val="32"/>
          <w:szCs w:val="32"/>
          <w:lang w:eastAsia="zh-CN"/>
        </w:rPr>
        <w:t>中的优秀案例、经验总结、探索创新研究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.安徽进一步全面深化改革重大落实举措研究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.纵深推</w:t>
      </w:r>
      <w:r>
        <w:rPr>
          <w:rFonts w:hint="eastAsia" w:ascii="仿宋" w:hAnsi="仿宋" w:eastAsia="仿宋" w:cs="仿宋"/>
          <w:bCs/>
          <w:sz w:val="32"/>
          <w:szCs w:val="32"/>
          <w:lang w:eastAsia="zh-CN"/>
        </w:rPr>
        <w:t>进</w:t>
      </w:r>
      <w:r>
        <w:rPr>
          <w:rFonts w:hint="eastAsia" w:ascii="仿宋" w:hAnsi="仿宋" w:eastAsia="仿宋" w:cs="仿宋"/>
          <w:bCs/>
          <w:sz w:val="32"/>
          <w:szCs w:val="32"/>
        </w:rPr>
        <w:t>长三角一体化发展</w:t>
      </w:r>
      <w:r>
        <w:rPr>
          <w:rFonts w:hint="eastAsia" w:ascii="仿宋" w:hAnsi="仿宋" w:eastAsia="仿宋" w:cs="仿宋"/>
          <w:bCs/>
          <w:sz w:val="32"/>
          <w:szCs w:val="32"/>
          <w:lang w:eastAsia="zh-CN"/>
        </w:rPr>
        <w:t>机制</w:t>
      </w:r>
      <w:r>
        <w:rPr>
          <w:rFonts w:hint="eastAsia" w:ascii="仿宋" w:hAnsi="仿宋" w:eastAsia="仿宋" w:cs="仿宋"/>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.深入推进与长三角都市圈城市群联动互融研究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.深化省际毗邻地区合作探索一体化发展新模式研究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.协同提升长三角公共服务保障水平研究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.健全全过程人民民主制度体系研究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1</w:t>
      </w:r>
      <w:r>
        <w:rPr>
          <w:rFonts w:hint="eastAsia" w:ascii="仿宋" w:hAnsi="仿宋" w:eastAsia="仿宋" w:cs="仿宋"/>
          <w:bCs/>
          <w:sz w:val="32"/>
          <w:szCs w:val="32"/>
        </w:rPr>
        <w:t>.安徽高质量发展促进共同富裕研究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2</w:t>
      </w:r>
      <w:r>
        <w:rPr>
          <w:rFonts w:hint="eastAsia" w:ascii="仿宋" w:hAnsi="仿宋" w:eastAsia="仿宋" w:cs="仿宋"/>
          <w:bCs/>
          <w:sz w:val="32"/>
          <w:szCs w:val="32"/>
        </w:rPr>
        <w:t>.完善安徽多层次社会保障体系建设研究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.安徽构建多层次多样化分类养老服务体系研究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.提升政府治理效能和服务水平研究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15.</w:t>
      </w:r>
      <w:r>
        <w:rPr>
          <w:rFonts w:hint="eastAsia" w:ascii="仿宋" w:hAnsi="仿宋" w:eastAsia="仿宋" w:cs="仿宋"/>
          <w:sz w:val="32"/>
          <w:szCs w:val="32"/>
        </w:rPr>
        <w:t>提升社会治理现代化水平研究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 w:val="0"/>
          <w:bCs/>
          <w:sz w:val="32"/>
          <w:szCs w:val="32"/>
        </w:rPr>
        <w:t>乡村振兴战略下数字乡村建设研究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7</w:t>
      </w:r>
      <w:r>
        <w:rPr>
          <w:rFonts w:hint="eastAsia" w:ascii="仿宋" w:hAnsi="仿宋" w:eastAsia="仿宋" w:cs="仿宋"/>
          <w:bCs/>
          <w:sz w:val="32"/>
          <w:szCs w:val="32"/>
        </w:rPr>
        <w:t>.全面提高</w:t>
      </w:r>
      <w:r>
        <w:rPr>
          <w:rFonts w:hint="eastAsia" w:ascii="仿宋" w:hAnsi="仿宋" w:eastAsia="仿宋" w:cs="仿宋"/>
          <w:bCs/>
          <w:sz w:val="32"/>
          <w:szCs w:val="32"/>
          <w:lang w:eastAsia="zh-CN"/>
        </w:rPr>
        <w:t>安徽</w:t>
      </w:r>
      <w:r>
        <w:rPr>
          <w:rFonts w:hint="eastAsia" w:ascii="仿宋" w:hAnsi="仿宋" w:eastAsia="仿宋" w:cs="仿宋"/>
          <w:bCs/>
          <w:sz w:val="32"/>
          <w:szCs w:val="32"/>
        </w:rPr>
        <w:t>教育治理体系和治理能力现代化水平研究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.安徽加快建设人才发展和创新高地研究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19.</w:t>
      </w:r>
      <w:r>
        <w:rPr>
          <w:rFonts w:hint="eastAsia" w:ascii="仿宋" w:hAnsi="仿宋" w:eastAsia="仿宋" w:cs="仿宋"/>
          <w:bCs/>
          <w:sz w:val="32"/>
          <w:szCs w:val="32"/>
        </w:rPr>
        <w:t>民法典与国家治理体系现代化研究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20</w:t>
      </w:r>
      <w:r>
        <w:rPr>
          <w:rFonts w:hint="eastAsia" w:ascii="仿宋" w:hAnsi="仿宋" w:eastAsia="仿宋" w:cs="仿宋"/>
          <w:bCs/>
          <w:sz w:val="32"/>
          <w:szCs w:val="32"/>
        </w:rPr>
        <w:t>.法治建设与营商环境研究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sz w:val="32"/>
          <w:szCs w:val="32"/>
        </w:rPr>
        <w:t>促进高质量充分就业研究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2</w:t>
      </w:r>
      <w:r>
        <w:rPr>
          <w:rFonts w:hint="eastAsia" w:ascii="仿宋" w:hAnsi="仿宋" w:eastAsia="仿宋" w:cs="仿宋"/>
          <w:bCs/>
          <w:sz w:val="32"/>
          <w:szCs w:val="32"/>
        </w:rPr>
        <w:t>.防范化解重点领域风险研究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.健全公共安全体系研究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 w:val="0"/>
          <w:bCs/>
          <w:sz w:val="32"/>
          <w:szCs w:val="32"/>
        </w:rPr>
        <w:t>健康安徽建设水平测评与提升对策研究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.人工智能和科技伦理研究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进一步完善“民声呼应”工作机制研究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27.</w:t>
      </w:r>
      <w:r>
        <w:rPr>
          <w:rFonts w:hint="eastAsia" w:ascii="仿宋" w:hAnsi="仿宋" w:eastAsia="仿宋" w:cs="仿宋"/>
          <w:bCs/>
          <w:sz w:val="32"/>
          <w:szCs w:val="32"/>
        </w:rPr>
        <w:t>深入推进新时代党的建设伟大工程研究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r>
        <w:rPr>
          <w:rFonts w:hint="eastAsia" w:ascii="仿宋" w:hAnsi="仿宋" w:eastAsia="仿宋" w:cs="仿宋"/>
          <w:sz w:val="32"/>
          <w:szCs w:val="32"/>
        </w:rPr>
        <w:t>基层党建与民主治理的安徽实践研究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29.党的二十届三中全会精神融入思政课教学研究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30.安徽高等教育高质量内涵式发展研究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w:t>
      </w:r>
      <w:r>
        <w:rPr>
          <w:rFonts w:hint="eastAsia" w:ascii="仿宋" w:hAnsi="仿宋" w:eastAsia="仿宋" w:cs="仿宋"/>
          <w:sz w:val="32"/>
          <w:szCs w:val="32"/>
          <w:lang w:eastAsia="zh-CN"/>
        </w:rPr>
        <w:t>宿州学院</w:t>
      </w:r>
      <w:r>
        <w:rPr>
          <w:rFonts w:hint="eastAsia" w:ascii="仿宋" w:hAnsi="仿宋" w:eastAsia="仿宋" w:cs="仿宋"/>
          <w:sz w:val="32"/>
          <w:szCs w:val="32"/>
        </w:rPr>
        <w:t>社科联承担学术组织工作。联系人：</w:t>
      </w:r>
      <w:r>
        <w:rPr>
          <w:rFonts w:hint="eastAsia" w:ascii="仿宋" w:hAnsi="仿宋" w:eastAsia="仿宋" w:cs="仿宋"/>
          <w:sz w:val="32"/>
          <w:szCs w:val="32"/>
          <w:lang w:eastAsia="zh-CN"/>
        </w:rPr>
        <w:t>张冰秋</w:t>
      </w:r>
      <w:r>
        <w:rPr>
          <w:rFonts w:hint="eastAsia" w:ascii="仿宋" w:hAnsi="仿宋" w:eastAsia="仿宋" w:cs="仿宋"/>
          <w:sz w:val="32"/>
          <w:szCs w:val="32"/>
        </w:rPr>
        <w:t>；邮箱：</w:t>
      </w:r>
      <w:r>
        <w:rPr>
          <w:rFonts w:hint="eastAsia" w:ascii="仿宋" w:hAnsi="仿宋" w:eastAsia="仿宋" w:cs="仿宋"/>
          <w:sz w:val="32"/>
          <w:szCs w:val="32"/>
          <w:lang w:val="en"/>
        </w:rPr>
        <w:t>szxyshkl</w:t>
      </w:r>
      <w:r>
        <w:rPr>
          <w:rFonts w:hint="eastAsia" w:ascii="仿宋" w:hAnsi="仿宋" w:eastAsia="仿宋" w:cs="仿宋"/>
          <w:sz w:val="32"/>
          <w:szCs w:val="32"/>
        </w:rPr>
        <w:t>@</w:t>
      </w:r>
      <w:r>
        <w:rPr>
          <w:rFonts w:hint="eastAsia" w:ascii="仿宋" w:hAnsi="仿宋" w:eastAsia="仿宋" w:cs="仿宋"/>
          <w:sz w:val="32"/>
          <w:szCs w:val="32"/>
          <w:lang w:val="en"/>
        </w:rPr>
        <w:t>163</w:t>
      </w:r>
      <w:r>
        <w:rPr>
          <w:rFonts w:hint="eastAsia" w:ascii="仿宋" w:hAnsi="仿宋" w:eastAsia="仿宋" w:cs="仿宋"/>
          <w:sz w:val="32"/>
          <w:szCs w:val="32"/>
        </w:rPr>
        <w:t>.com；电话：055</w:t>
      </w:r>
      <w:r>
        <w:rPr>
          <w:rFonts w:hint="eastAsia" w:ascii="仿宋" w:hAnsi="仿宋" w:eastAsia="仿宋" w:cs="仿宋"/>
          <w:sz w:val="32"/>
          <w:szCs w:val="32"/>
          <w:lang w:val="en"/>
        </w:rPr>
        <w:t>7</w:t>
      </w:r>
      <w:r>
        <w:rPr>
          <w:rFonts w:hint="eastAsia" w:ascii="仿宋" w:hAnsi="仿宋" w:eastAsia="仿宋" w:cs="仿宋"/>
          <w:sz w:val="32"/>
          <w:szCs w:val="32"/>
        </w:rPr>
        <w:t>—</w:t>
      </w:r>
      <w:r>
        <w:rPr>
          <w:rFonts w:hint="eastAsia" w:ascii="仿宋" w:hAnsi="仿宋" w:eastAsia="仿宋" w:cs="仿宋"/>
          <w:sz w:val="32"/>
          <w:szCs w:val="32"/>
          <w:lang w:val="en"/>
        </w:rPr>
        <w:t>2875719</w:t>
      </w:r>
      <w:r>
        <w:rPr>
          <w:rFonts w:hint="eastAsia" w:ascii="仿宋" w:hAnsi="仿宋" w:eastAsia="仿宋" w:cs="仿宋"/>
          <w:sz w:val="32"/>
          <w:szCs w:val="32"/>
        </w:rPr>
        <w:t>，</w:t>
      </w:r>
      <w:r>
        <w:rPr>
          <w:rFonts w:hint="eastAsia" w:ascii="仿宋" w:hAnsi="仿宋" w:eastAsia="仿宋" w:cs="仿宋"/>
          <w:sz w:val="32"/>
          <w:szCs w:val="32"/>
          <w:lang w:val="en"/>
        </w:rPr>
        <w:t>15955796180</w:t>
      </w:r>
      <w:r>
        <w:rPr>
          <w:rFonts w:hint="eastAsia" w:ascii="仿宋" w:hAnsi="仿宋" w:eastAsia="仿宋" w:cs="仿宋"/>
          <w:sz w:val="32"/>
          <w:szCs w:val="32"/>
        </w:rPr>
        <w:t>。</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二专场</w:t>
      </w:r>
      <w:r>
        <w:rPr>
          <w:rFonts w:hint="eastAsia" w:ascii="黑体" w:hAnsi="黑体" w:eastAsia="黑体" w:cs="黑体"/>
          <w:sz w:val="32"/>
          <w:szCs w:val="32"/>
          <w:lang w:eastAsia="zh-CN"/>
        </w:rPr>
        <w:t>：以</w:t>
      </w:r>
      <w:r>
        <w:rPr>
          <w:rFonts w:hint="eastAsia" w:ascii="黑体" w:hAnsi="黑体" w:eastAsia="黑体" w:cs="黑体"/>
          <w:sz w:val="32"/>
          <w:szCs w:val="32"/>
        </w:rPr>
        <w:t>经济体制改革</w:t>
      </w:r>
      <w:r>
        <w:rPr>
          <w:rFonts w:hint="eastAsia" w:ascii="黑体" w:hAnsi="黑体" w:eastAsia="黑体" w:cs="黑体"/>
          <w:sz w:val="32"/>
          <w:szCs w:val="32"/>
          <w:lang w:eastAsia="zh-CN"/>
        </w:rPr>
        <w:t>为牵引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推动高质量发展</w:t>
      </w:r>
    </w:p>
    <w:p>
      <w:pPr>
        <w:keepNext w:val="0"/>
        <w:keepLines w:val="0"/>
        <w:pageBreakBefore w:val="0"/>
        <w:widowControl w:val="0"/>
        <w:kinsoku/>
        <w:wordWrap/>
        <w:overflowPunct/>
        <w:topLinePunct w:val="0"/>
        <w:autoSpaceDN/>
        <w:bidi w:val="0"/>
        <w:adjustRightInd/>
        <w:snapToGrid/>
        <w:spacing w:line="540" w:lineRule="exact"/>
        <w:jc w:val="center"/>
        <w:rPr>
          <w:rFonts w:hint="eastAsia" w:ascii="仿宋" w:hAnsi="仿宋" w:eastAsia="仿宋" w:cs="方正仿宋_GBK"/>
          <w:sz w:val="32"/>
          <w:szCs w:val="32"/>
        </w:rPr>
      </w:pPr>
      <w:r>
        <w:rPr>
          <w:rFonts w:hint="eastAsia" w:ascii="方正仿宋_GBK" w:hAnsi="方正仿宋_GBK" w:eastAsia="方正仿宋_GBK" w:cs="方正仿宋_GBK"/>
          <w:sz w:val="32"/>
          <w:szCs w:val="32"/>
        </w:rPr>
        <w:t>（经济管理生态等学科  安徽工程大学承办）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1.以经济体制改革为牵引研究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ascii="仿宋" w:hAnsi="仿宋" w:eastAsia="仿宋" w:cs="方正仿宋_GBK"/>
          <w:sz w:val="32"/>
          <w:szCs w:val="32"/>
        </w:rPr>
        <w:t>2</w:t>
      </w:r>
      <w:r>
        <w:rPr>
          <w:rFonts w:hint="eastAsia" w:ascii="仿宋" w:hAnsi="仿宋" w:eastAsia="仿宋" w:cs="方正仿宋_GBK"/>
          <w:sz w:val="32"/>
          <w:szCs w:val="32"/>
        </w:rPr>
        <w:t>.</w:t>
      </w:r>
      <w:r>
        <w:rPr>
          <w:rFonts w:hint="eastAsia" w:ascii="仿宋" w:hAnsi="仿宋" w:eastAsia="仿宋" w:cs="方正仿宋_GBK"/>
          <w:bCs/>
          <w:sz w:val="32"/>
          <w:szCs w:val="32"/>
        </w:rPr>
        <w:t>构建高水平社会主义市场经济体制研究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ascii="仿宋" w:hAnsi="仿宋" w:eastAsia="仿宋" w:cs="方正仿宋_GBK"/>
          <w:sz w:val="32"/>
          <w:szCs w:val="32"/>
        </w:rPr>
        <w:t>3</w:t>
      </w:r>
      <w:r>
        <w:rPr>
          <w:rFonts w:hint="eastAsia" w:ascii="仿宋" w:hAnsi="仿宋" w:eastAsia="仿宋" w:cs="方正仿宋_GBK"/>
          <w:sz w:val="32"/>
          <w:szCs w:val="32"/>
        </w:rPr>
        <w:t>.</w:t>
      </w:r>
      <w:r>
        <w:rPr>
          <w:rFonts w:hint="eastAsia" w:ascii="仿宋" w:hAnsi="仿宋" w:eastAsia="仿宋" w:cs="方正仿宋_GBK"/>
          <w:bCs/>
          <w:sz w:val="32"/>
          <w:szCs w:val="32"/>
        </w:rPr>
        <w:t>健全推动经济高质量发展体制机制研究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sz w:val="32"/>
          <w:szCs w:val="32"/>
        </w:rPr>
        <w:t>4.</w:t>
      </w:r>
      <w:r>
        <w:rPr>
          <w:rFonts w:hint="eastAsia" w:ascii="仿宋" w:hAnsi="仿宋" w:eastAsia="仿宋" w:cs="方正仿宋_GBK"/>
          <w:bCs/>
          <w:sz w:val="32"/>
          <w:szCs w:val="32"/>
        </w:rPr>
        <w:t>构建支持全面创新体制机制研究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5.健全</w:t>
      </w:r>
      <w:r>
        <w:rPr>
          <w:rFonts w:hint="eastAsia" w:ascii="仿宋" w:hAnsi="仿宋" w:eastAsia="仿宋" w:cs="方正仿宋_GBK"/>
          <w:bCs/>
          <w:sz w:val="32"/>
          <w:szCs w:val="32"/>
          <w:lang w:eastAsia="zh-CN"/>
        </w:rPr>
        <w:t>省市级</w:t>
      </w:r>
      <w:r>
        <w:rPr>
          <w:rFonts w:hint="eastAsia" w:ascii="仿宋" w:hAnsi="仿宋" w:eastAsia="仿宋" w:cs="方正仿宋_GBK"/>
          <w:bCs/>
          <w:sz w:val="32"/>
          <w:szCs w:val="32"/>
        </w:rPr>
        <w:t>经济治理体系研究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6.安徽打造具有重要影响力的“三地一区”研究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7.</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因地制宜发展新质生产力体制机制研究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8.财税体制改革</w:t>
      </w:r>
      <w:r>
        <w:rPr>
          <w:rFonts w:hint="eastAsia" w:ascii="仿宋" w:hAnsi="仿宋" w:eastAsia="仿宋" w:cs="方正仿宋_GBK"/>
          <w:bCs/>
          <w:sz w:val="32"/>
          <w:szCs w:val="32"/>
          <w:lang w:eastAsia="zh-CN"/>
        </w:rPr>
        <w:t>背景下地方财政增收路径</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9.安徽</w:t>
      </w:r>
      <w:r>
        <w:rPr>
          <w:rFonts w:hint="eastAsia" w:ascii="仿宋" w:hAnsi="仿宋" w:eastAsia="仿宋" w:cs="方正仿宋_GBK"/>
          <w:bCs/>
          <w:sz w:val="32"/>
          <w:szCs w:val="32"/>
          <w:lang w:eastAsia="zh-CN"/>
        </w:rPr>
        <w:t>构建以企业为主体的</w:t>
      </w:r>
      <w:r>
        <w:rPr>
          <w:rFonts w:hint="eastAsia" w:ascii="仿宋" w:hAnsi="仿宋" w:eastAsia="仿宋" w:cs="方正仿宋_GBK"/>
          <w:bCs/>
          <w:sz w:val="32"/>
          <w:szCs w:val="32"/>
        </w:rPr>
        <w:t>科技创新体系研究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10.</w:t>
      </w:r>
      <w:r>
        <w:rPr>
          <w:rFonts w:hint="eastAsia" w:ascii="仿宋" w:hAnsi="仿宋" w:eastAsia="仿宋" w:cs="方正仿宋_GBK"/>
          <w:bCs/>
          <w:sz w:val="32"/>
          <w:szCs w:val="32"/>
          <w:lang w:eastAsia="zh-CN"/>
        </w:rPr>
        <w:t>长三角地区</w:t>
      </w:r>
      <w:r>
        <w:rPr>
          <w:rFonts w:hint="eastAsia" w:ascii="仿宋" w:hAnsi="仿宋" w:eastAsia="仿宋" w:cs="方正仿宋_GBK"/>
          <w:bCs/>
          <w:sz w:val="32"/>
          <w:szCs w:val="32"/>
        </w:rPr>
        <w:t>生态环保</w:t>
      </w:r>
      <w:r>
        <w:rPr>
          <w:rFonts w:hint="eastAsia" w:ascii="仿宋" w:hAnsi="仿宋" w:eastAsia="仿宋" w:cs="方正仿宋_GBK"/>
          <w:bCs/>
          <w:sz w:val="32"/>
          <w:szCs w:val="32"/>
          <w:lang w:eastAsia="zh-CN"/>
        </w:rPr>
        <w:t>联防</w:t>
      </w:r>
      <w:r>
        <w:rPr>
          <w:rFonts w:hint="eastAsia" w:ascii="仿宋" w:hAnsi="仿宋" w:eastAsia="仿宋" w:cs="方正仿宋_GBK"/>
          <w:bCs/>
          <w:sz w:val="32"/>
          <w:szCs w:val="32"/>
        </w:rPr>
        <w:t xml:space="preserve">联治研究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11.抓好美丽长江（安徽）经济带新一轮提升工程研究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12.安徽加快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高</w:t>
      </w:r>
      <w:r>
        <w:rPr>
          <w:rFonts w:hint="eastAsia" w:ascii="仿宋" w:hAnsi="仿宋" w:eastAsia="仿宋" w:cs="方正仿宋_GBK"/>
          <w:bCs/>
          <w:sz w:val="32"/>
          <w:szCs w:val="32"/>
          <w:lang w:eastAsia="zh-CN"/>
        </w:rPr>
        <w:t>端</w:t>
      </w:r>
      <w:r>
        <w:rPr>
          <w:rFonts w:hint="eastAsia" w:ascii="仿宋" w:hAnsi="仿宋" w:eastAsia="仿宋" w:cs="方正仿宋_GBK"/>
          <w:bCs/>
          <w:sz w:val="32"/>
          <w:szCs w:val="32"/>
        </w:rPr>
        <w:t>化、智能化、绿色化升级研究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13.安徽未来产业布局研究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14.沪苏浙城市与皖北城市结对合作帮扶机制创新研究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15.安徽</w:t>
      </w:r>
      <w:r>
        <w:rPr>
          <w:rFonts w:hint="eastAsia" w:ascii="仿宋" w:hAnsi="仿宋" w:eastAsia="仿宋" w:cs="方正仿宋_GBK"/>
          <w:bCs/>
          <w:sz w:val="32"/>
          <w:szCs w:val="32"/>
          <w:lang w:eastAsia="zh-CN"/>
        </w:rPr>
        <w:t>“新三样”产业发展路径与对策</w:t>
      </w:r>
      <w:r>
        <w:rPr>
          <w:rFonts w:hint="eastAsia" w:ascii="仿宋" w:hAnsi="仿宋" w:eastAsia="仿宋" w:cs="方正仿宋_GBK"/>
          <w:bCs/>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16.安徽加快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“数实融合”研究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17.税收制度改革背景下安徽消费地经济发展研究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18.推动安徽现代服务业提档升级研究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19.高水平推进安徽“千村引领、万村升级”机制研究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20.加快推进安徽建成千亿斤江淮粮仓研究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21.安徽改革完善耕地占补平衡制度研究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.安徽加快推进“四廊两屏”建设研究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.安徽产业数字化水平提升路径研究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 xml:space="preserve">.安徽数字产业化水平提升路径研究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sz w:val="32"/>
          <w:szCs w:val="32"/>
          <w:lang w:val="en-US" w:eastAsia="zh-CN"/>
        </w:rPr>
      </w:pPr>
      <w:r>
        <w:rPr>
          <w:rFonts w:hint="eastAsia" w:ascii="仿宋" w:hAnsi="仿宋" w:eastAsia="仿宋" w:cs="方正仿宋_GBK"/>
          <w:b w:val="0"/>
          <w:bCs/>
          <w:sz w:val="32"/>
          <w:szCs w:val="32"/>
          <w:lang w:val="en-US" w:eastAsia="zh-CN"/>
        </w:rPr>
        <w:t>25.安徽数字创意产业高质量发展研究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.安徽“专新特精”企业培育与发展机制研究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.推动安徽科技领军企业梯次培育体系研究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.推进</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自贸区制度性开放研究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.推进城乡融合发展体制机制研究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30</w:t>
      </w:r>
      <w:r>
        <w:rPr>
          <w:rFonts w:hint="eastAsia" w:ascii="仿宋" w:hAnsi="仿宋" w:eastAsia="仿宋" w:cs="方正仿宋_GBK"/>
          <w:bCs/>
          <w:sz w:val="32"/>
          <w:szCs w:val="32"/>
        </w:rPr>
        <w:t>.安徽上市公司高质量发展研究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1</w:t>
      </w:r>
      <w:r>
        <w:rPr>
          <w:rFonts w:hint="eastAsia" w:ascii="仿宋" w:hAnsi="仿宋" w:eastAsia="仿宋" w:cs="方正仿宋_GBK"/>
          <w:bCs/>
          <w:sz w:val="32"/>
          <w:szCs w:val="32"/>
        </w:rPr>
        <w:t>.山区、丘陵和平原农业发展差异化路径研究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.安徽国有企业深化改革研究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.安徽“省市县”政府平台公司债务化解对策研究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.安徽科技型企业快速发展案例研究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5</w:t>
      </w:r>
      <w:r>
        <w:rPr>
          <w:rFonts w:hint="eastAsia" w:ascii="仿宋" w:hAnsi="仿宋" w:eastAsia="仿宋" w:cs="方正仿宋_GBK"/>
          <w:bCs/>
          <w:sz w:val="32"/>
          <w:szCs w:val="32"/>
        </w:rPr>
        <w:t>.安徽民营企业“做强做大”路径研究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.安徽“十大专班”推进战新产业发展绩效评估与机制改进对策</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.安徽人口流动趋势及现实对策研究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.安徽生育率、育龄妇女生育意愿趋势及对策研究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.安徽农村老人生存状态及优化对策研究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40</w:t>
      </w:r>
      <w:r>
        <w:rPr>
          <w:rFonts w:hint="eastAsia" w:ascii="仿宋" w:hAnsi="仿宋" w:eastAsia="仿宋" w:cs="方正仿宋_GBK"/>
          <w:bCs/>
          <w:sz w:val="32"/>
          <w:szCs w:val="32"/>
        </w:rPr>
        <w:t>.安徽出省人口流动去向及生存状态研究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本专场由安徽</w:t>
      </w:r>
      <w:r>
        <w:rPr>
          <w:rFonts w:hint="eastAsia" w:ascii="仿宋" w:hAnsi="仿宋" w:eastAsia="仿宋" w:cs="仿宋"/>
          <w:sz w:val="32"/>
          <w:szCs w:val="32"/>
          <w:lang w:eastAsia="zh-CN"/>
        </w:rPr>
        <w:t>工程</w:t>
      </w:r>
      <w:r>
        <w:rPr>
          <w:rFonts w:hint="eastAsia" w:ascii="仿宋" w:hAnsi="仿宋" w:eastAsia="仿宋" w:cs="仿宋"/>
          <w:sz w:val="32"/>
          <w:szCs w:val="32"/>
        </w:rPr>
        <w:t>大学社科联承担学术组织工作。联系人：</w:t>
      </w:r>
      <w:r>
        <w:rPr>
          <w:rFonts w:hint="eastAsia" w:ascii="仿宋" w:hAnsi="仿宋" w:eastAsia="仿宋" w:cs="仿宋"/>
          <w:sz w:val="32"/>
          <w:szCs w:val="32"/>
          <w:lang w:eastAsia="zh-CN"/>
        </w:rPr>
        <w:t>吴锋、黄江胜</w:t>
      </w:r>
      <w:r>
        <w:rPr>
          <w:rFonts w:hint="eastAsia" w:ascii="仿宋" w:hAnsi="仿宋" w:eastAsia="仿宋" w:cs="仿宋"/>
          <w:sz w:val="32"/>
          <w:szCs w:val="32"/>
        </w:rPr>
        <w:t>；邮箱：</w:t>
      </w:r>
      <w:r>
        <w:rPr>
          <w:rFonts w:hint="default" w:ascii="仿宋" w:hAnsi="仿宋" w:eastAsia="仿宋" w:cs="仿宋"/>
          <w:sz w:val="32"/>
          <w:szCs w:val="32"/>
          <w:lang w:val="en"/>
        </w:rPr>
        <w:t>wu_feng</w:t>
      </w:r>
      <w:r>
        <w:rPr>
          <w:rFonts w:hint="eastAsia" w:ascii="仿宋" w:hAnsi="仿宋" w:eastAsia="仿宋" w:cs="仿宋"/>
          <w:sz w:val="32"/>
          <w:szCs w:val="32"/>
        </w:rPr>
        <w:t>@</w:t>
      </w:r>
      <w:r>
        <w:rPr>
          <w:rFonts w:hint="default" w:ascii="仿宋" w:hAnsi="仿宋" w:eastAsia="仿宋" w:cs="仿宋"/>
          <w:sz w:val="32"/>
          <w:szCs w:val="32"/>
          <w:lang w:val="en"/>
        </w:rPr>
        <w:t>ahpu.edu.cn</w:t>
      </w:r>
      <w:r>
        <w:rPr>
          <w:rFonts w:hint="eastAsia" w:ascii="仿宋" w:hAnsi="仿宋" w:eastAsia="仿宋" w:cs="仿宋"/>
          <w:sz w:val="32"/>
          <w:szCs w:val="32"/>
        </w:rPr>
        <w:t>；电话：</w:t>
      </w:r>
      <w:r>
        <w:rPr>
          <w:rFonts w:hint="default" w:ascii="仿宋" w:hAnsi="仿宋" w:eastAsia="仿宋" w:cs="仿宋"/>
          <w:sz w:val="32"/>
          <w:szCs w:val="32"/>
          <w:lang w:val="en"/>
        </w:rPr>
        <w:t>15295597565</w:t>
      </w:r>
      <w:r>
        <w:rPr>
          <w:rFonts w:hint="eastAsia" w:ascii="仿宋" w:hAnsi="仿宋" w:eastAsia="仿宋" w:cs="仿宋"/>
          <w:sz w:val="32"/>
          <w:szCs w:val="32"/>
        </w:rPr>
        <w:t>，</w:t>
      </w:r>
      <w:r>
        <w:rPr>
          <w:rFonts w:hint="eastAsia" w:ascii="仿宋" w:hAnsi="仿宋" w:eastAsia="仿宋" w:cs="仿宋"/>
          <w:sz w:val="32"/>
          <w:szCs w:val="32"/>
          <w:lang w:val="en-US" w:eastAsia="zh-CN"/>
        </w:rPr>
        <w:t>0553-2871174</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三专场</w:t>
      </w:r>
      <w:r>
        <w:rPr>
          <w:rFonts w:hint="eastAsia" w:ascii="黑体" w:hAnsi="黑体" w:eastAsia="黑体" w:cs="黑体"/>
          <w:sz w:val="32"/>
          <w:szCs w:val="32"/>
          <w:lang w:eastAsia="zh-CN"/>
        </w:rPr>
        <w:t>：深化文化体制机制改革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提升创新创造活力</w:t>
      </w:r>
    </w:p>
    <w:p>
      <w:pPr>
        <w:pStyle w:val="12"/>
        <w:keepNext w:val="0"/>
        <w:keepLines w:val="0"/>
        <w:pageBreakBefore w:val="0"/>
        <w:widowControl w:val="0"/>
        <w:kinsoku/>
        <w:wordWrap/>
        <w:overflowPunct/>
        <w:topLinePunct w:val="0"/>
        <w:autoSpaceDN/>
        <w:bidi w:val="0"/>
        <w:adjustRightInd/>
        <w:snapToGrid/>
        <w:spacing w:line="540" w:lineRule="exact"/>
        <w:jc w:val="center"/>
      </w:pPr>
      <w:r>
        <w:rPr>
          <w:rFonts w:hint="eastAsia" w:ascii="方正仿宋_GBK" w:hAnsi="方正仿宋_GBK" w:eastAsia="方正仿宋_GBK" w:cs="方正仿宋_GBK"/>
          <w:sz w:val="32"/>
          <w:szCs w:val="32"/>
        </w:rPr>
        <w:t xml:space="preserve">（历史文化文学艺术等学科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巢湖学院承办）</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1.习近平文化思想的理论渊源、价值意蕴和实践路径研究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2.习近平总书记关于</w:t>
      </w:r>
      <w:r>
        <w:rPr>
          <w:rFonts w:hint="eastAsia" w:ascii="仿宋" w:hAnsi="仿宋" w:eastAsia="仿宋" w:cs="方正仿宋_GBK"/>
          <w:sz w:val="32"/>
          <w:szCs w:val="32"/>
          <w:lang w:eastAsia="zh-CN"/>
        </w:rPr>
        <w:t>文化传承发展</w:t>
      </w:r>
      <w:r>
        <w:rPr>
          <w:rFonts w:hint="eastAsia" w:ascii="仿宋" w:hAnsi="仿宋" w:eastAsia="仿宋" w:cs="方正仿宋_GBK"/>
          <w:sz w:val="32"/>
          <w:szCs w:val="32"/>
        </w:rPr>
        <w:t>重要论述研究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.深化安徽文化体制机制改革研究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b w:val="0"/>
          <w:bCs w:val="0"/>
          <w:sz w:val="32"/>
          <w:szCs w:val="32"/>
          <w:lang w:val="en-US" w:eastAsia="zh-CN"/>
        </w:rPr>
        <w:t>4</w:t>
      </w:r>
      <w:r>
        <w:rPr>
          <w:rFonts w:hint="eastAsia" w:ascii="仿宋" w:hAnsi="仿宋" w:eastAsia="仿宋" w:cs="方正仿宋_GBK"/>
          <w:b w:val="0"/>
          <w:bCs w:val="0"/>
          <w:sz w:val="32"/>
          <w:szCs w:val="32"/>
        </w:rPr>
        <w:t>.</w:t>
      </w:r>
      <w:r>
        <w:rPr>
          <w:rFonts w:hint="eastAsia" w:ascii="仿宋" w:hAnsi="仿宋" w:eastAsia="仿宋" w:cs="方正仿宋_GBK"/>
          <w:sz w:val="32"/>
          <w:szCs w:val="32"/>
        </w:rPr>
        <w:t>安徽文物保护利用和文化遗产传承机制研究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5.完善意识形态工作责任制研究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安徽哲学社会科学创新工程对中国哲学社会科学自主知识体系贡献研究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7</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大别山精神、新四军精神、淮海战役精神、渡江精神、小岗精神等革命精神</w:t>
      </w:r>
      <w:r>
        <w:rPr>
          <w:rFonts w:hint="eastAsia"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.安徽推动理想信念教育常态化制度化研究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优化安徽英模人物宣传学习机制研究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10</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建立优质文化资源直达基层机制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11.</w:t>
      </w:r>
      <w:r>
        <w:rPr>
          <w:rFonts w:hint="eastAsia" w:ascii="仿宋" w:hAnsi="仿宋" w:eastAsia="仿宋" w:cs="方正仿宋_GBK"/>
          <w:sz w:val="32"/>
          <w:szCs w:val="32"/>
        </w:rPr>
        <w:t>安徽优化文化服务和文化产品供给机制研究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12.</w:t>
      </w:r>
      <w:r>
        <w:rPr>
          <w:rFonts w:hint="eastAsia" w:ascii="仿宋" w:hAnsi="仿宋" w:eastAsia="仿宋" w:cs="方正仿宋_GBK"/>
          <w:sz w:val="32"/>
          <w:szCs w:val="32"/>
        </w:rPr>
        <w:t>安徽健全网络综合治理体系研究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.安徽地方形象建构与传播体系研究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.构建安徽文化核心标识体系研究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lang w:val="en-US" w:eastAsia="zh-CN"/>
        </w:rPr>
        <w:t>15</w:t>
      </w:r>
      <w:r>
        <w:rPr>
          <w:rFonts w:hint="eastAsia" w:ascii="仿宋" w:hAnsi="仿宋" w:eastAsia="仿宋" w:cs="方正仿宋_GBK"/>
          <w:sz w:val="32"/>
          <w:szCs w:val="32"/>
        </w:rPr>
        <w:t>.安徽历史文化名人研究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w:t>
      </w:r>
      <w:r>
        <w:rPr>
          <w:rFonts w:hint="eastAsia" w:ascii="仿宋" w:hAnsi="仿宋" w:eastAsia="仿宋" w:cs="方正仿宋_GBK"/>
          <w:sz w:val="32"/>
          <w:szCs w:val="32"/>
        </w:rPr>
        <w:t>优秀传统家风文化研究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7</w:t>
      </w:r>
      <w:r>
        <w:rPr>
          <w:rFonts w:ascii="仿宋" w:hAnsi="仿宋" w:eastAsia="仿宋" w:cs="方正仿宋_GBK"/>
          <w:sz w:val="32"/>
          <w:szCs w:val="32"/>
        </w:rPr>
        <w:t>.</w:t>
      </w:r>
      <w:r>
        <w:rPr>
          <w:rFonts w:hint="eastAsia" w:ascii="仿宋" w:hAnsi="仿宋" w:eastAsia="仿宋" w:cs="方正仿宋_GBK"/>
          <w:sz w:val="32"/>
          <w:szCs w:val="32"/>
        </w:rPr>
        <w:t>乡村振兴背景下古村落历史文化的活态传承研究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.安徽文化和旅游深度融合发展体制机制研究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安徽文化生态保护区提升研究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20.</w:t>
      </w:r>
      <w:r>
        <w:rPr>
          <w:rFonts w:hint="eastAsia" w:ascii="仿宋" w:hAnsi="仿宋" w:eastAsia="仿宋" w:cs="方正仿宋_GBK"/>
          <w:sz w:val="32"/>
          <w:szCs w:val="32"/>
          <w:lang w:eastAsia="zh-CN"/>
        </w:rPr>
        <w:t>淮河、</w:t>
      </w:r>
      <w:r>
        <w:rPr>
          <w:rFonts w:hint="eastAsia" w:ascii="仿宋" w:hAnsi="仿宋" w:eastAsia="仿宋" w:cs="方正仿宋_GBK"/>
          <w:sz w:val="32"/>
          <w:szCs w:val="32"/>
        </w:rPr>
        <w:t>大运河（安徽段）文化研究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安徽红色革命史系统化编撰研究</w:t>
      </w:r>
    </w:p>
    <w:p>
      <w:pPr>
        <w:pStyle w:val="12"/>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2</w:t>
      </w:r>
      <w:r>
        <w:rPr>
          <w:rFonts w:hint="eastAsia" w:ascii="仿宋" w:hAnsi="仿宋" w:eastAsia="仿宋" w:cs="方正仿宋_GBK"/>
          <w:sz w:val="32"/>
          <w:szCs w:val="32"/>
        </w:rPr>
        <w:t>.</w:t>
      </w:r>
      <w:r>
        <w:rPr>
          <w:rFonts w:hint="eastAsia" w:ascii="仿宋" w:hAnsi="仿宋" w:eastAsia="仿宋" w:cs="方正仿宋_GBK"/>
          <w:sz w:val="32"/>
          <w:szCs w:val="32"/>
          <w:lang w:eastAsia="zh-CN"/>
        </w:rPr>
        <w:t>徽州优秀传统文化创造性转化创新性发展研究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eastAsia="zh-CN"/>
        </w:rPr>
        <w:t>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lang w:eastAsia="zh-CN"/>
        </w:rPr>
        <w:t>.长江</w:t>
      </w:r>
      <w:r>
        <w:rPr>
          <w:rFonts w:hint="eastAsia" w:ascii="仿宋" w:hAnsi="仿宋" w:eastAsia="仿宋" w:cs="方正仿宋_GBK"/>
          <w:sz w:val="32"/>
          <w:szCs w:val="32"/>
        </w:rPr>
        <w:t>文化、江南文化与</w:t>
      </w:r>
      <w:r>
        <w:rPr>
          <w:rFonts w:hint="eastAsia" w:ascii="仿宋" w:hAnsi="仿宋" w:eastAsia="仿宋" w:cs="方正仿宋_GBK"/>
          <w:b w:val="0"/>
          <w:bCs w:val="0"/>
          <w:sz w:val="32"/>
          <w:szCs w:val="32"/>
          <w:lang w:eastAsia="zh-CN"/>
        </w:rPr>
        <w:t>皖北</w:t>
      </w:r>
      <w:r>
        <w:rPr>
          <w:rFonts w:hint="eastAsia" w:ascii="仿宋" w:hAnsi="仿宋" w:eastAsia="仿宋" w:cs="方正仿宋_GBK"/>
          <w:sz w:val="32"/>
          <w:szCs w:val="32"/>
        </w:rPr>
        <w:t>文化融合发展研究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24.</w:t>
      </w:r>
      <w:r>
        <w:rPr>
          <w:rFonts w:hint="eastAsia" w:ascii="仿宋" w:hAnsi="仿宋" w:eastAsia="仿宋" w:cs="方正仿宋_GBK"/>
          <w:sz w:val="32"/>
          <w:szCs w:val="32"/>
        </w:rPr>
        <w:t>古文字与安大简研究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5</w:t>
      </w:r>
      <w:r>
        <w:rPr>
          <w:rFonts w:hint="eastAsia" w:ascii="仿宋" w:hAnsi="仿宋" w:eastAsia="仿宋" w:cs="方正仿宋_GBK"/>
          <w:sz w:val="32"/>
          <w:szCs w:val="32"/>
        </w:rPr>
        <w:t>.武王墩墓考古发掘</w:t>
      </w:r>
      <w:r>
        <w:rPr>
          <w:rFonts w:hint="eastAsia" w:ascii="仿宋" w:hAnsi="仿宋" w:eastAsia="仿宋" w:cs="方正仿宋_GBK"/>
          <w:sz w:val="32"/>
          <w:szCs w:val="32"/>
          <w:lang w:eastAsia="zh-CN"/>
        </w:rPr>
        <w:t>对于早期古代文明</w:t>
      </w:r>
      <w:r>
        <w:rPr>
          <w:rFonts w:hint="eastAsia" w:ascii="仿宋" w:hAnsi="仿宋" w:eastAsia="仿宋" w:cs="方正仿宋_GBK"/>
          <w:sz w:val="32"/>
          <w:szCs w:val="32"/>
        </w:rPr>
        <w:t>重大意义和价值研究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26</w:t>
      </w:r>
      <w:r>
        <w:rPr>
          <w:rFonts w:ascii="仿宋" w:hAnsi="仿宋" w:eastAsia="仿宋" w:cs="仿宋"/>
          <w:sz w:val="32"/>
          <w:szCs w:val="32"/>
        </w:rPr>
        <w:t>.</w:t>
      </w:r>
      <w:r>
        <w:rPr>
          <w:rFonts w:hint="eastAsia" w:ascii="仿宋" w:hAnsi="仿宋" w:eastAsia="仿宋" w:cs="仿宋"/>
          <w:sz w:val="32"/>
          <w:szCs w:val="32"/>
        </w:rPr>
        <w:t>大力弘扬安徽传统廉洁文化研究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ascii="仿宋" w:hAnsi="仿宋" w:eastAsia="仿宋" w:cs="仿宋"/>
          <w:sz w:val="32"/>
          <w:szCs w:val="32"/>
        </w:rPr>
        <w:t>.</w:t>
      </w:r>
      <w:r>
        <w:rPr>
          <w:rFonts w:hint="eastAsia" w:ascii="仿宋" w:hAnsi="仿宋" w:eastAsia="仿宋" w:cs="仿宋"/>
          <w:sz w:val="32"/>
          <w:szCs w:val="32"/>
        </w:rPr>
        <w:t>积极拓展安徽文化国际传播研究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8.安徽城市发展史及现实启示研究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9.安徽工业发展史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0.</w:t>
      </w:r>
      <w:r>
        <w:rPr>
          <w:rFonts w:hint="eastAsia" w:ascii="仿宋" w:hAnsi="仿宋" w:eastAsia="仿宋" w:cs="方正仿宋_GBK"/>
          <w:sz w:val="32"/>
          <w:szCs w:val="32"/>
        </w:rPr>
        <w:t>安徽</w:t>
      </w:r>
      <w:r>
        <w:rPr>
          <w:rFonts w:ascii="仿宋" w:hAnsi="仿宋" w:eastAsia="仿宋" w:cs="方正仿宋_GBK"/>
          <w:sz w:val="32"/>
          <w:szCs w:val="32"/>
        </w:rPr>
        <w:t>农业发展史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1.安徽科技发展史</w:t>
      </w:r>
      <w:r>
        <w:rPr>
          <w:rFonts w:hint="eastAsia" w:ascii="仿宋" w:hAnsi="仿宋" w:eastAsia="仿宋" w:cs="方正仿宋_GBK"/>
          <w:sz w:val="32"/>
          <w:szCs w:val="32"/>
        </w:rPr>
        <w:t>及现实启示研究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2</w:t>
      </w:r>
      <w:r>
        <w:rPr>
          <w:rFonts w:hint="eastAsia" w:ascii="仿宋" w:hAnsi="仿宋" w:eastAsia="仿宋" w:cs="方正仿宋_GBK"/>
          <w:sz w:val="32"/>
          <w:szCs w:val="32"/>
        </w:rPr>
        <w:t>.</w:t>
      </w:r>
      <w:r>
        <w:rPr>
          <w:rFonts w:ascii="仿宋" w:hAnsi="仿宋" w:eastAsia="仿宋" w:cs="方正仿宋_GBK"/>
          <w:sz w:val="32"/>
          <w:szCs w:val="32"/>
        </w:rPr>
        <w:t>“中国好人”安徽篇章的文化底蕴和现实价值研究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3.“安徽好人”案例采编融入学校课堂思政教学研究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34.安徽文旅品牌</w:t>
      </w:r>
      <w:r>
        <w:rPr>
          <w:rFonts w:hint="eastAsia" w:ascii="仿宋" w:hAnsi="仿宋" w:eastAsia="仿宋" w:cs="方正仿宋_GBK"/>
          <w:sz w:val="32"/>
          <w:szCs w:val="32"/>
        </w:rPr>
        <w:t>I</w:t>
      </w:r>
      <w:r>
        <w:rPr>
          <w:rFonts w:ascii="仿宋" w:hAnsi="仿宋" w:eastAsia="仿宋" w:cs="方正仿宋_GBK"/>
          <w:sz w:val="32"/>
          <w:szCs w:val="32"/>
        </w:rPr>
        <w:t>P优化设计和传播路径研究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val="0"/>
          <w:sz w:val="32"/>
          <w:szCs w:val="32"/>
          <w:lang w:val="en-US" w:eastAsia="zh-CN"/>
        </w:rPr>
      </w:pPr>
      <w:r>
        <w:rPr>
          <w:rFonts w:hint="eastAsia" w:ascii="仿宋" w:hAnsi="仿宋" w:eastAsia="仿宋" w:cs="方正仿宋_GBK"/>
          <w:b w:val="0"/>
          <w:bCs w:val="0"/>
          <w:sz w:val="32"/>
          <w:szCs w:val="32"/>
          <w:lang w:val="en-US" w:eastAsia="zh-CN"/>
        </w:rPr>
        <w:t>35.文化和科技深度融合模式和机制研究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w:t>
      </w:r>
      <w:r>
        <w:rPr>
          <w:rFonts w:hint="eastAsia" w:ascii="仿宋" w:hAnsi="仿宋" w:eastAsia="仿宋" w:cs="方正仿宋_GBK"/>
          <w:sz w:val="32"/>
          <w:szCs w:val="32"/>
          <w:lang w:val="en-US" w:eastAsia="zh-CN"/>
        </w:rPr>
        <w:t>6</w:t>
      </w:r>
      <w:r>
        <w:rPr>
          <w:rFonts w:ascii="仿宋" w:hAnsi="仿宋" w:eastAsia="仿宋" w:cs="方正仿宋_GBK"/>
          <w:sz w:val="32"/>
          <w:szCs w:val="32"/>
        </w:rPr>
        <w:t>.安徽品牌文化产品遴选及向外推介机制研究</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方正仿宋_GBK"/>
          <w:sz w:val="32"/>
          <w:szCs w:val="32"/>
        </w:rPr>
        <w:t>3</w:t>
      </w:r>
      <w:r>
        <w:rPr>
          <w:rFonts w:hint="eastAsia" w:ascii="仿宋" w:hAnsi="仿宋" w:eastAsia="仿宋" w:cs="方正仿宋_GBK"/>
          <w:sz w:val="32"/>
          <w:szCs w:val="32"/>
          <w:lang w:val="en-US" w:eastAsia="zh-CN"/>
        </w:rPr>
        <w:t>7</w:t>
      </w:r>
      <w:r>
        <w:rPr>
          <w:rFonts w:ascii="仿宋" w:hAnsi="仿宋" w:eastAsia="仿宋" w:cs="方正仿宋_GBK"/>
          <w:sz w:val="32"/>
          <w:szCs w:val="32"/>
        </w:rPr>
        <w:t>.安徽各城市文化特质提炼及体系化传播路径研究</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仿宋"/>
          <w:sz w:val="32"/>
          <w:szCs w:val="32"/>
        </w:rPr>
        <w:t>本</w:t>
      </w:r>
      <w:r>
        <w:rPr>
          <w:rFonts w:hint="eastAsia" w:ascii="仿宋" w:hAnsi="仿宋" w:eastAsia="仿宋" w:cs="方正仿宋_GBK"/>
          <w:sz w:val="32"/>
          <w:szCs w:val="32"/>
        </w:rPr>
        <w:t>专场由</w:t>
      </w:r>
      <w:r>
        <w:rPr>
          <w:rFonts w:hint="eastAsia" w:ascii="仿宋" w:hAnsi="仿宋" w:eastAsia="仿宋" w:cs="方正仿宋_GBK"/>
          <w:sz w:val="32"/>
          <w:szCs w:val="32"/>
          <w:lang w:eastAsia="zh-CN"/>
        </w:rPr>
        <w:t>巢湖</w:t>
      </w:r>
      <w:r>
        <w:rPr>
          <w:rFonts w:hint="eastAsia" w:ascii="仿宋" w:hAnsi="仿宋" w:eastAsia="仿宋" w:cs="方正仿宋_GBK"/>
          <w:sz w:val="32"/>
          <w:szCs w:val="32"/>
        </w:rPr>
        <w:t>学院社科联承担学术组织工作。联系人：</w:t>
      </w:r>
      <w:r>
        <w:rPr>
          <w:rFonts w:hint="eastAsia" w:ascii="仿宋" w:hAnsi="仿宋" w:eastAsia="仿宋" w:cs="方正仿宋_GBK"/>
          <w:sz w:val="32"/>
          <w:szCs w:val="32"/>
          <w:lang w:eastAsia="zh-CN"/>
        </w:rPr>
        <w:t>张帅兵</w:t>
      </w:r>
      <w:r>
        <w:rPr>
          <w:rFonts w:hint="eastAsia" w:ascii="仿宋" w:hAnsi="仿宋" w:eastAsia="仿宋" w:cs="方正仿宋_GBK"/>
          <w:sz w:val="32"/>
          <w:szCs w:val="32"/>
        </w:rPr>
        <w:t>；邮箱：</w:t>
      </w:r>
      <w:r>
        <w:rPr>
          <w:rFonts w:hint="eastAsia" w:ascii="仿宋" w:hAnsi="仿宋" w:eastAsia="仿宋" w:cs="方正仿宋_GBK"/>
          <w:sz w:val="32"/>
          <w:szCs w:val="32"/>
        </w:rPr>
        <w:fldChar w:fldCharType="begin"/>
      </w:r>
      <w:r>
        <w:rPr>
          <w:rFonts w:hint="eastAsia" w:ascii="仿宋" w:hAnsi="仿宋" w:eastAsia="仿宋" w:cs="方正仿宋_GBK"/>
          <w:sz w:val="32"/>
          <w:szCs w:val="32"/>
        </w:rPr>
        <w:instrText xml:space="preserve"> HYPERLINK "mailto:ackycxsjl@163.com。" </w:instrText>
      </w:r>
      <w:r>
        <w:rPr>
          <w:rFonts w:hint="eastAsia" w:ascii="仿宋" w:hAnsi="仿宋" w:eastAsia="仿宋" w:cs="方正仿宋_GBK"/>
          <w:sz w:val="32"/>
          <w:szCs w:val="32"/>
        </w:rPr>
        <w:fldChar w:fldCharType="separate"/>
      </w:r>
      <w:r>
        <w:rPr>
          <w:rFonts w:hint="default" w:ascii="仿宋" w:hAnsi="仿宋" w:eastAsia="仿宋" w:cs="方正仿宋_GBK"/>
          <w:sz w:val="32"/>
          <w:szCs w:val="32"/>
          <w:lang w:val="en"/>
        </w:rPr>
        <w:t>kjc</w:t>
      </w:r>
      <w:r>
        <w:rPr>
          <w:rFonts w:hint="eastAsia" w:ascii="仿宋" w:hAnsi="仿宋" w:eastAsia="仿宋" w:cs="方正仿宋_GBK"/>
          <w:sz w:val="32"/>
          <w:szCs w:val="32"/>
        </w:rPr>
        <w:t>@</w:t>
      </w:r>
      <w:r>
        <w:rPr>
          <w:rFonts w:hint="default" w:ascii="仿宋" w:hAnsi="仿宋" w:eastAsia="仿宋" w:cs="方正仿宋_GBK"/>
          <w:sz w:val="32"/>
          <w:szCs w:val="32"/>
          <w:lang w:val="en"/>
        </w:rPr>
        <w:t>chu.edu.cn</w:t>
      </w:r>
      <w:r>
        <w:rPr>
          <w:rFonts w:hint="eastAsia" w:ascii="仿宋" w:hAnsi="仿宋" w:eastAsia="仿宋" w:cs="方正仿宋_GBK"/>
          <w:sz w:val="32"/>
          <w:szCs w:val="32"/>
        </w:rPr>
        <w:t>；</w:t>
      </w:r>
      <w:r>
        <w:rPr>
          <w:rFonts w:hint="eastAsia" w:ascii="仿宋" w:hAnsi="仿宋" w:eastAsia="仿宋" w:cs="方正仿宋_GBK"/>
          <w:sz w:val="32"/>
          <w:szCs w:val="32"/>
        </w:rPr>
        <w:fldChar w:fldCharType="end"/>
      </w:r>
      <w:r>
        <w:rPr>
          <w:rFonts w:hint="eastAsia" w:ascii="仿宋" w:hAnsi="仿宋" w:eastAsia="仿宋" w:cs="方正仿宋_GBK"/>
          <w:sz w:val="32"/>
          <w:szCs w:val="32"/>
        </w:rPr>
        <w:t>电话：</w:t>
      </w:r>
      <w:r>
        <w:rPr>
          <w:rFonts w:hint="default" w:ascii="仿宋" w:hAnsi="仿宋" w:eastAsia="仿宋" w:cs="方正仿宋_GBK"/>
          <w:sz w:val="32"/>
          <w:szCs w:val="32"/>
          <w:lang w:val="en"/>
        </w:rPr>
        <w:t>15555156098</w:t>
      </w:r>
      <w:r>
        <w:rPr>
          <w:rFonts w:hint="eastAsia" w:ascii="仿宋" w:hAnsi="仿宋" w:eastAsia="仿宋" w:cs="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第四专场：青年</w:t>
      </w:r>
      <w:r>
        <w:rPr>
          <w:rFonts w:hint="eastAsia" w:ascii="黑体" w:hAnsi="黑体" w:eastAsia="黑体" w:cs="黑体"/>
          <w:sz w:val="32"/>
          <w:szCs w:val="32"/>
        </w:rPr>
        <w:t>专场</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青年专场征文面向</w:t>
      </w:r>
      <w:r>
        <w:rPr>
          <w:rFonts w:hint="eastAsia" w:ascii="仿宋" w:hAnsi="仿宋" w:eastAsia="仿宋" w:cs="仿宋"/>
          <w:sz w:val="32"/>
          <w:szCs w:val="32"/>
          <w:lang w:val="en-US" w:eastAsia="zh-CN"/>
        </w:rPr>
        <w:t>40</w:t>
      </w:r>
      <w:r>
        <w:rPr>
          <w:rFonts w:hint="eastAsia" w:ascii="仿宋" w:hAnsi="仿宋" w:eastAsia="仿宋" w:cs="仿宋"/>
          <w:sz w:val="32"/>
          <w:szCs w:val="32"/>
        </w:rPr>
        <w:t>周岁以下</w:t>
      </w:r>
      <w:r>
        <w:rPr>
          <w:rFonts w:hint="eastAsia" w:ascii="仿宋" w:hAnsi="仿宋" w:eastAsia="仿宋" w:cs="仿宋"/>
          <w:sz w:val="32"/>
          <w:szCs w:val="32"/>
          <w:lang w:val="en-US" w:eastAsia="zh-CN"/>
        </w:rPr>
        <w:t>（截止2024年12月31日）</w:t>
      </w:r>
      <w:r>
        <w:rPr>
          <w:rFonts w:hint="eastAsia" w:ascii="仿宋" w:hAnsi="仿宋" w:eastAsia="仿宋" w:cs="仿宋"/>
          <w:sz w:val="32"/>
          <w:szCs w:val="32"/>
        </w:rPr>
        <w:t>青年学者</w:t>
      </w:r>
      <w:r>
        <w:rPr>
          <w:rFonts w:hint="eastAsia" w:ascii="仿宋" w:hAnsi="仿宋" w:eastAsia="仿宋" w:cs="仿宋"/>
          <w:sz w:val="32"/>
          <w:szCs w:val="32"/>
          <w:lang w:eastAsia="zh-CN"/>
        </w:rPr>
        <w:t>，成果仅参与青年奖项评审。</w:t>
      </w:r>
    </w:p>
    <w:p>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color w:val="000000"/>
          <w:sz w:val="30"/>
          <w:szCs w:val="30"/>
        </w:rPr>
      </w:pPr>
      <w:r>
        <w:rPr>
          <w:rFonts w:hint="eastAsia" w:ascii="仿宋" w:hAnsi="仿宋" w:eastAsia="仿宋" w:cs="仿宋"/>
          <w:sz w:val="32"/>
          <w:szCs w:val="32"/>
          <w:lang w:eastAsia="zh-CN"/>
        </w:rPr>
        <w:t>本专场由省社科界青年学者协会承担学术组织工作，联系人：张琛；邮箱：</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"mailto:ackycxsjl@163.com。"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val="en" w:eastAsia="zh-CN"/>
        </w:rPr>
        <w:t>ahsklxhgzc@163.com</w:t>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电话：</w:t>
      </w:r>
      <w:r>
        <w:rPr>
          <w:rFonts w:hint="eastAsia" w:ascii="仿宋" w:hAnsi="仿宋" w:eastAsia="仿宋" w:cs="仿宋"/>
          <w:sz w:val="32"/>
          <w:szCs w:val="32"/>
        </w:rPr>
        <w:t>0551—634</w:t>
      </w:r>
      <w:r>
        <w:rPr>
          <w:rFonts w:hint="eastAsia" w:ascii="仿宋" w:hAnsi="仿宋" w:eastAsia="仿宋" w:cs="仿宋"/>
          <w:sz w:val="32"/>
          <w:szCs w:val="32"/>
          <w:lang w:val="en"/>
        </w:rPr>
        <w:t>37450</w:t>
      </w:r>
      <w:r>
        <w:rPr>
          <w:rFonts w:hint="eastAsia" w:ascii="仿宋" w:hAnsi="仿宋" w:eastAsia="仿宋" w:cs="仿宋"/>
          <w:sz w:val="32"/>
          <w:szCs w:val="32"/>
          <w:lang w:eastAsia="zh-CN"/>
        </w:rPr>
        <w:t xml:space="preserve">。 </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pStyle w:val="12"/>
        <w:rPr>
          <w:rFonts w:hint="eastAsia" w:ascii="黑体" w:hAnsi="黑体" w:eastAsia="黑体" w:cs="黑体"/>
          <w:sz w:val="32"/>
          <w:szCs w:val="32"/>
        </w:rPr>
      </w:pPr>
    </w:p>
    <w:p>
      <w:pPr>
        <w:pStyle w:val="12"/>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（第一专场、第二专场、第三专场）</w:t>
      </w:r>
    </w:p>
    <w:tbl>
      <w:tblPr>
        <w:tblStyle w:val="7"/>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pPr>
              <w:spacing w:line="560" w:lineRule="exact"/>
              <w:jc w:val="center"/>
              <w:rPr>
                <w:rFonts w:cs="Times New Roman"/>
                <w:sz w:val="24"/>
                <w:szCs w:val="24"/>
              </w:rPr>
            </w:pPr>
          </w:p>
        </w:tc>
        <w:tc>
          <w:tcPr>
            <w:tcW w:w="1282"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pPr>
              <w:spacing w:line="560" w:lineRule="exact"/>
              <w:jc w:val="center"/>
              <w:rPr>
                <w:rFonts w:cs="Times New Roman"/>
                <w:sz w:val="24"/>
                <w:szCs w:val="24"/>
              </w:rPr>
            </w:pPr>
          </w:p>
        </w:tc>
        <w:tc>
          <w:tcPr>
            <w:tcW w:w="1275"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出生年月</w:t>
            </w:r>
          </w:p>
        </w:tc>
        <w:tc>
          <w:tcPr>
            <w:tcW w:w="1519" w:type="dxa"/>
            <w:vAlign w:val="center"/>
          </w:tcPr>
          <w:p>
            <w:pPr>
              <w:spacing w:line="560" w:lineRule="exact"/>
              <w:jc w:val="center"/>
              <w:rPr>
                <w:rFonts w:cs="Times New Roman"/>
                <w:sz w:val="24"/>
                <w:szCs w:val="24"/>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pPr>
              <w:spacing w:line="560" w:lineRule="exact"/>
              <w:jc w:val="center"/>
              <w:rPr>
                <w:rFonts w:cs="Times New Roman"/>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申报专场</w:t>
            </w:r>
          </w:p>
        </w:tc>
        <w:tc>
          <w:tcPr>
            <w:tcW w:w="7665" w:type="dxa"/>
            <w:gridSpan w:val="6"/>
            <w:vAlign w:val="center"/>
          </w:tcPr>
          <w:p>
            <w:pPr>
              <w:spacing w:line="560" w:lineRule="exact"/>
              <w:jc w:val="lef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邮政编码</w:t>
            </w:r>
          </w:p>
        </w:tc>
        <w:tc>
          <w:tcPr>
            <w:tcW w:w="1519" w:type="dxa"/>
            <w:vAlign w:val="center"/>
          </w:tcPr>
          <w:p>
            <w:pPr>
              <w:spacing w:line="560" w:lineRule="exact"/>
              <w:jc w:val="center"/>
              <w:rPr>
                <w:rFonts w:cs="Times New Roman"/>
                <w:sz w:val="24"/>
                <w:szCs w:val="24"/>
              </w:rPr>
            </w:pPr>
          </w:p>
        </w:tc>
        <w:tc>
          <w:tcPr>
            <w:tcW w:w="1282" w:type="dxa"/>
            <w:vAlign w:val="center"/>
          </w:tcPr>
          <w:p>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pPr>
              <w:spacing w:line="560" w:lineRule="exact"/>
              <w:jc w:val="center"/>
              <w:rPr>
                <w:rFonts w:cs="Times New Roman"/>
                <w:sz w:val="24"/>
                <w:szCs w:val="24"/>
              </w:rPr>
            </w:pPr>
          </w:p>
        </w:tc>
        <w:tc>
          <w:tcPr>
            <w:tcW w:w="1275" w:type="dxa"/>
            <w:vAlign w:val="center"/>
          </w:tcPr>
          <w:p>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2941" w:type="dxa"/>
            <w:gridSpan w:val="3"/>
            <w:tcBorders>
              <w:left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pPr>
              <w:spacing w:line="560" w:lineRule="exact"/>
              <w:jc w:val="center"/>
              <w:rPr>
                <w:sz w:val="24"/>
                <w:szCs w:val="24"/>
              </w:rPr>
            </w:pPr>
          </w:p>
        </w:tc>
        <w:tc>
          <w:tcPr>
            <w:tcW w:w="1282" w:type="dxa"/>
            <w:tcBorders>
              <w:left w:val="single" w:color="auto" w:sz="8" w:space="0"/>
              <w:right w:val="single" w:color="auto" w:sz="8" w:space="0"/>
            </w:tcBorders>
            <w:vAlign w:val="center"/>
          </w:tcPr>
          <w:p>
            <w:pPr>
              <w:spacing w:line="560" w:lineRule="exact"/>
              <w:jc w:val="center"/>
              <w:rPr>
                <w:sz w:val="24"/>
                <w:szCs w:val="24"/>
              </w:rPr>
            </w:pPr>
          </w:p>
        </w:tc>
        <w:tc>
          <w:tcPr>
            <w:tcW w:w="1923" w:type="dxa"/>
            <w:tcBorders>
              <w:left w:val="single" w:color="auto" w:sz="8" w:space="0"/>
              <w:right w:val="single" w:color="auto" w:sz="8" w:space="0"/>
            </w:tcBorders>
            <w:vAlign w:val="center"/>
          </w:tcPr>
          <w:p>
            <w:pPr>
              <w:spacing w:line="560" w:lineRule="exact"/>
              <w:jc w:val="center"/>
              <w:rPr>
                <w:sz w:val="24"/>
                <w:szCs w:val="24"/>
              </w:rPr>
            </w:pPr>
          </w:p>
        </w:tc>
        <w:tc>
          <w:tcPr>
            <w:tcW w:w="2941" w:type="dxa"/>
            <w:gridSpan w:val="3"/>
            <w:tcBorders>
              <w:left w:val="single" w:color="auto" w:sz="8" w:space="0"/>
            </w:tcBorders>
            <w:vAlign w:val="center"/>
          </w:tcPr>
          <w:p>
            <w:pPr>
              <w:spacing w:line="56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pPr>
              <w:spacing w:line="560" w:lineRule="exact"/>
              <w:ind w:firstLine="4800" w:firstLineChars="2000"/>
              <w:jc w:val="center"/>
              <w:rPr>
                <w:rFonts w:cs="Times New Roman"/>
                <w:sz w:val="24"/>
                <w:szCs w:val="24"/>
              </w:rPr>
            </w:pPr>
          </w:p>
          <w:p>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pPr>
              <w:widowControl/>
              <w:spacing w:line="560" w:lineRule="exact"/>
              <w:jc w:val="center"/>
              <w:rPr>
                <w:rFonts w:cs="Times New Roman"/>
                <w:spacing w:val="-16"/>
                <w:sz w:val="24"/>
                <w:szCs w:val="24"/>
              </w:rPr>
            </w:pPr>
          </w:p>
          <w:p>
            <w:pPr>
              <w:spacing w:line="560" w:lineRule="exact"/>
              <w:jc w:val="center"/>
              <w:rPr>
                <w:rFonts w:cs="Times New Roman"/>
                <w:spacing w:val="-16"/>
                <w:sz w:val="24"/>
                <w:szCs w:val="24"/>
              </w:rPr>
            </w:pPr>
          </w:p>
        </w:tc>
        <w:tc>
          <w:tcPr>
            <w:tcW w:w="1923" w:type="dxa"/>
            <w:vAlign w:val="center"/>
          </w:tcPr>
          <w:p>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c>
          <w:tcPr>
            <w:tcW w:w="960" w:type="dxa"/>
            <w:vAlign w:val="center"/>
          </w:tcPr>
          <w:p>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15" w:type="dxa"/>
            <w:vMerge w:val="continue"/>
            <w:tcBorders>
              <w:bottom w:val="single" w:color="auto" w:sz="8" w:space="0"/>
            </w:tcBorders>
          </w:tcPr>
          <w:p>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pPr>
              <w:spacing w:line="560" w:lineRule="exact"/>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pPr>
        <w:spacing w:line="560" w:lineRule="exact"/>
        <w:jc w:val="left"/>
        <w:rPr>
          <w:rFonts w:hint="eastAsia" w:ascii="黑体" w:hAnsi="黑体"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（青年专场）</w:t>
      </w:r>
    </w:p>
    <w:tbl>
      <w:tblPr>
        <w:tblStyle w:val="7"/>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pPr>
              <w:spacing w:line="560" w:lineRule="exact"/>
              <w:jc w:val="center"/>
              <w:rPr>
                <w:rFonts w:cs="Times New Roman"/>
                <w:sz w:val="24"/>
                <w:szCs w:val="24"/>
              </w:rPr>
            </w:pPr>
          </w:p>
        </w:tc>
        <w:tc>
          <w:tcPr>
            <w:tcW w:w="1282"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pPr>
              <w:spacing w:line="560" w:lineRule="exact"/>
              <w:jc w:val="center"/>
              <w:rPr>
                <w:rFonts w:cs="Times New Roman"/>
                <w:sz w:val="24"/>
                <w:szCs w:val="24"/>
              </w:rPr>
            </w:pPr>
          </w:p>
        </w:tc>
        <w:tc>
          <w:tcPr>
            <w:tcW w:w="1275" w:type="dxa"/>
            <w:tcBorders>
              <w:top w:val="single" w:color="auto" w:sz="8" w:space="0"/>
            </w:tcBorders>
            <w:vAlign w:val="center"/>
          </w:tcPr>
          <w:p>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出生年月</w:t>
            </w:r>
          </w:p>
        </w:tc>
        <w:tc>
          <w:tcPr>
            <w:tcW w:w="1519" w:type="dxa"/>
            <w:vAlign w:val="center"/>
          </w:tcPr>
          <w:p>
            <w:pPr>
              <w:spacing w:line="560" w:lineRule="exact"/>
              <w:jc w:val="center"/>
              <w:rPr>
                <w:rFonts w:cs="Times New Roman"/>
                <w:sz w:val="24"/>
                <w:szCs w:val="24"/>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pPr>
              <w:spacing w:line="560" w:lineRule="exact"/>
              <w:jc w:val="center"/>
              <w:rPr>
                <w:rFonts w:cs="Times New Roman"/>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pPr>
              <w:spacing w:line="560" w:lineRule="exact"/>
              <w:jc w:val="center"/>
              <w:rPr>
                <w:rFonts w:hint="eastAsia" w:eastAsia="宋体" w:cs="Times New Roman"/>
                <w:sz w:val="24"/>
                <w:szCs w:val="24"/>
                <w:lang w:eastAsia="zh-CN"/>
              </w:rPr>
            </w:pPr>
            <w:r>
              <w:rPr>
                <w:rFonts w:hint="eastAsia" w:cs="宋体"/>
                <w:sz w:val="24"/>
                <w:szCs w:val="24"/>
                <w:lang w:eastAsia="zh-CN"/>
              </w:rPr>
              <w:t>学科类别</w:t>
            </w:r>
          </w:p>
        </w:tc>
        <w:tc>
          <w:tcPr>
            <w:tcW w:w="7665" w:type="dxa"/>
            <w:gridSpan w:val="6"/>
            <w:vAlign w:val="center"/>
          </w:tcPr>
          <w:p>
            <w:pPr>
              <w:spacing w:line="560" w:lineRule="exact"/>
              <w:jc w:val="left"/>
              <w:rPr>
                <w:rFonts w:hint="eastAsia" w:eastAsia="宋体" w:cs="Times New Roman"/>
                <w:sz w:val="24"/>
                <w:szCs w:val="24"/>
                <w:lang w:eastAsia="zh-CN"/>
              </w:rPr>
            </w:pPr>
            <w:r>
              <w:rPr>
                <w:rFonts w:hint="eastAsia" w:cs="Times New Roman"/>
                <w:sz w:val="24"/>
                <w:szCs w:val="24"/>
                <w:lang w:eastAsia="zh-CN"/>
              </w:rPr>
              <w:sym w:font="Wingdings 2" w:char="00A3"/>
            </w:r>
            <w:r>
              <w:rPr>
                <w:rFonts w:hint="eastAsia" w:eastAsia="宋体" w:cs="宋体"/>
                <w:sz w:val="24"/>
                <w:szCs w:val="24"/>
                <w:lang w:eastAsia="zh-CN"/>
              </w:rPr>
              <w:t>政治法律哲学社会党建等学科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eastAsia="宋体" w:cs="宋体"/>
                <w:sz w:val="24"/>
                <w:szCs w:val="24"/>
                <w:lang w:val="en-US" w:eastAsia="zh-CN"/>
              </w:rPr>
              <w:t xml:space="preserve">  </w:t>
            </w:r>
            <w:r>
              <w:rPr>
                <w:rFonts w:hint="eastAsia" w:eastAsia="宋体" w:cs="宋体"/>
                <w:sz w:val="24"/>
                <w:szCs w:val="24"/>
                <w:lang w:eastAsia="zh-CN"/>
              </w:rPr>
              <w:sym w:font="Wingdings 2" w:char="00A3"/>
            </w:r>
            <w:r>
              <w:rPr>
                <w:rFonts w:hint="eastAsia" w:eastAsia="宋体" w:cs="宋体"/>
                <w:sz w:val="24"/>
                <w:szCs w:val="24"/>
                <w:lang w:eastAsia="zh-CN"/>
              </w:rPr>
              <w:t>经济管理生态等学科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cs="Times New Roman"/>
                <w:sz w:val="24"/>
                <w:szCs w:val="24"/>
                <w:lang w:eastAsia="zh-CN"/>
              </w:rPr>
              <w:sym w:font="Wingdings 2" w:char="00A3"/>
            </w:r>
            <w:r>
              <w:rPr>
                <w:rFonts w:hint="eastAsia" w:eastAsia="宋体" w:cs="宋体"/>
                <w:sz w:val="24"/>
                <w:szCs w:val="24"/>
                <w:lang w:eastAsia="zh-CN"/>
              </w:rPr>
              <w:t>历史文化文学艺术等学科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邮政编码</w:t>
            </w:r>
          </w:p>
        </w:tc>
        <w:tc>
          <w:tcPr>
            <w:tcW w:w="1519" w:type="dxa"/>
            <w:vAlign w:val="center"/>
          </w:tcPr>
          <w:p>
            <w:pPr>
              <w:spacing w:line="560" w:lineRule="exact"/>
              <w:jc w:val="center"/>
              <w:rPr>
                <w:rFonts w:cs="Times New Roman"/>
                <w:sz w:val="24"/>
                <w:szCs w:val="24"/>
              </w:rPr>
            </w:pPr>
          </w:p>
        </w:tc>
        <w:tc>
          <w:tcPr>
            <w:tcW w:w="1282" w:type="dxa"/>
            <w:vAlign w:val="center"/>
          </w:tcPr>
          <w:p>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pPr>
              <w:spacing w:line="560" w:lineRule="exact"/>
              <w:jc w:val="center"/>
              <w:rPr>
                <w:rFonts w:cs="Times New Roman"/>
                <w:sz w:val="24"/>
                <w:szCs w:val="24"/>
              </w:rPr>
            </w:pPr>
          </w:p>
        </w:tc>
        <w:tc>
          <w:tcPr>
            <w:tcW w:w="1275" w:type="dxa"/>
            <w:vAlign w:val="center"/>
          </w:tcPr>
          <w:p>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pPr>
              <w:spacing w:line="560" w:lineRule="exact"/>
              <w:jc w:val="center"/>
              <w:rPr>
                <w:rFonts w:cs="Times New Roman"/>
                <w:sz w:val="24"/>
                <w:szCs w:val="24"/>
              </w:rPr>
            </w:pPr>
          </w:p>
        </w:tc>
        <w:tc>
          <w:tcPr>
            <w:tcW w:w="1282" w:type="dxa"/>
            <w:tcBorders>
              <w:bottom w:val="single" w:color="auto" w:sz="8" w:space="0"/>
            </w:tcBorders>
            <w:vAlign w:val="center"/>
          </w:tcPr>
          <w:p>
            <w:pPr>
              <w:spacing w:line="560" w:lineRule="exact"/>
              <w:jc w:val="center"/>
              <w:rPr>
                <w:rFonts w:cs="Times New Roman"/>
                <w:sz w:val="24"/>
                <w:szCs w:val="24"/>
              </w:rPr>
            </w:pPr>
          </w:p>
        </w:tc>
        <w:tc>
          <w:tcPr>
            <w:tcW w:w="1923" w:type="dxa"/>
            <w:tcBorders>
              <w:bottom w:val="single" w:color="auto" w:sz="8" w:space="0"/>
            </w:tcBorders>
            <w:vAlign w:val="center"/>
          </w:tcPr>
          <w:p>
            <w:pPr>
              <w:spacing w:line="560" w:lineRule="exact"/>
              <w:jc w:val="center"/>
              <w:rPr>
                <w:rFonts w:cs="Times New Roman"/>
                <w:sz w:val="24"/>
                <w:szCs w:val="24"/>
              </w:rPr>
            </w:pPr>
          </w:p>
        </w:tc>
        <w:tc>
          <w:tcPr>
            <w:tcW w:w="2941" w:type="dxa"/>
            <w:gridSpan w:val="3"/>
            <w:tcBorders>
              <w:bottom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pPr>
              <w:spacing w:line="560" w:lineRule="exact"/>
              <w:jc w:val="center"/>
              <w:rPr>
                <w:rFonts w:cs="Times New Roman"/>
                <w:sz w:val="24"/>
                <w:szCs w:val="24"/>
              </w:rPr>
            </w:pPr>
          </w:p>
        </w:tc>
        <w:tc>
          <w:tcPr>
            <w:tcW w:w="2941" w:type="dxa"/>
            <w:gridSpan w:val="3"/>
            <w:tcBorders>
              <w:left w:val="single" w:color="auto" w:sz="8" w:space="0"/>
            </w:tcBorders>
            <w:vAlign w:val="center"/>
          </w:tcPr>
          <w:p>
            <w:pPr>
              <w:spacing w:line="56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pPr>
              <w:spacing w:line="560" w:lineRule="exact"/>
              <w:jc w:val="center"/>
              <w:rPr>
                <w:sz w:val="24"/>
                <w:szCs w:val="24"/>
              </w:rPr>
            </w:pPr>
          </w:p>
        </w:tc>
        <w:tc>
          <w:tcPr>
            <w:tcW w:w="1282" w:type="dxa"/>
            <w:tcBorders>
              <w:left w:val="single" w:color="auto" w:sz="8" w:space="0"/>
              <w:right w:val="single" w:color="auto" w:sz="8" w:space="0"/>
            </w:tcBorders>
            <w:vAlign w:val="center"/>
          </w:tcPr>
          <w:p>
            <w:pPr>
              <w:spacing w:line="560" w:lineRule="exact"/>
              <w:jc w:val="center"/>
              <w:rPr>
                <w:sz w:val="24"/>
                <w:szCs w:val="24"/>
              </w:rPr>
            </w:pPr>
          </w:p>
        </w:tc>
        <w:tc>
          <w:tcPr>
            <w:tcW w:w="1923" w:type="dxa"/>
            <w:tcBorders>
              <w:left w:val="single" w:color="auto" w:sz="8" w:space="0"/>
              <w:right w:val="single" w:color="auto" w:sz="8" w:space="0"/>
            </w:tcBorders>
            <w:vAlign w:val="center"/>
          </w:tcPr>
          <w:p>
            <w:pPr>
              <w:spacing w:line="560" w:lineRule="exact"/>
              <w:jc w:val="center"/>
              <w:rPr>
                <w:sz w:val="24"/>
                <w:szCs w:val="24"/>
              </w:rPr>
            </w:pPr>
          </w:p>
        </w:tc>
        <w:tc>
          <w:tcPr>
            <w:tcW w:w="2941" w:type="dxa"/>
            <w:gridSpan w:val="3"/>
            <w:tcBorders>
              <w:left w:val="single" w:color="auto" w:sz="8" w:space="0"/>
            </w:tcBorders>
            <w:vAlign w:val="center"/>
          </w:tcPr>
          <w:p>
            <w:pPr>
              <w:spacing w:line="56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pPr>
              <w:spacing w:line="560" w:lineRule="exact"/>
              <w:ind w:firstLine="4800" w:firstLineChars="2000"/>
              <w:jc w:val="center"/>
              <w:rPr>
                <w:rFonts w:cs="Times New Roman"/>
                <w:sz w:val="24"/>
                <w:szCs w:val="24"/>
              </w:rPr>
            </w:pPr>
          </w:p>
          <w:p>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pPr>
              <w:widowControl/>
              <w:spacing w:line="560" w:lineRule="exact"/>
              <w:jc w:val="center"/>
              <w:rPr>
                <w:rFonts w:cs="Times New Roman"/>
                <w:spacing w:val="-16"/>
                <w:sz w:val="24"/>
                <w:szCs w:val="24"/>
              </w:rPr>
            </w:pPr>
          </w:p>
          <w:p>
            <w:pPr>
              <w:spacing w:line="560" w:lineRule="exact"/>
              <w:jc w:val="center"/>
              <w:rPr>
                <w:rFonts w:cs="Times New Roman"/>
                <w:spacing w:val="-16"/>
                <w:sz w:val="24"/>
                <w:szCs w:val="24"/>
              </w:rPr>
            </w:pPr>
          </w:p>
        </w:tc>
        <w:tc>
          <w:tcPr>
            <w:tcW w:w="1923" w:type="dxa"/>
            <w:vAlign w:val="center"/>
          </w:tcPr>
          <w:p>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c>
          <w:tcPr>
            <w:tcW w:w="960" w:type="dxa"/>
            <w:vAlign w:val="center"/>
          </w:tcPr>
          <w:p>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pPr>
              <w:widowControl/>
              <w:spacing w:line="560" w:lineRule="exact"/>
              <w:jc w:val="center"/>
              <w:rPr>
                <w:rFonts w:cs="Times New Roman"/>
                <w:sz w:val="24"/>
                <w:szCs w:val="24"/>
              </w:rPr>
            </w:pPr>
          </w:p>
          <w:p>
            <w:pPr>
              <w:spacing w:line="560" w:lineRule="exact"/>
              <w:jc w:val="center"/>
              <w:rPr>
                <w:rFonts w:cs="Times New Roman"/>
                <w:sz w:val="24"/>
                <w:szCs w:val="24"/>
              </w:rPr>
            </w:pPr>
          </w:p>
          <w:p>
            <w:pPr>
              <w:spacing w:line="560" w:lineRule="exact"/>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15" w:type="dxa"/>
            <w:vMerge w:val="continue"/>
            <w:tcBorders>
              <w:bottom w:val="single" w:color="auto" w:sz="8" w:space="0"/>
            </w:tcBorders>
          </w:tcPr>
          <w:p>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pPr>
              <w:spacing w:line="560" w:lineRule="exact"/>
              <w:rPr>
                <w:rFonts w:cs="Times New Roman"/>
                <w:sz w:val="24"/>
                <w:szCs w:val="24"/>
              </w:rPr>
            </w:pPr>
          </w:p>
          <w:p>
            <w:pPr>
              <w:spacing w:line="560" w:lineRule="exact"/>
              <w:ind w:firstLine="240" w:firstLineChars="100"/>
              <w:rPr>
                <w:rFonts w:cs="Times New Roman"/>
                <w:sz w:val="24"/>
                <w:szCs w:val="24"/>
              </w:rPr>
            </w:pPr>
          </w:p>
          <w:p>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s="宋体"/>
          <w:sz w:val="24"/>
          <w:szCs w:val="24"/>
          <w:lang w:eastAsia="zh-CN"/>
        </w:rPr>
      </w:pPr>
      <w:r>
        <w:rPr>
          <w:rFonts w:hint="eastAsia" w:eastAsia="宋体" w:cs="宋体"/>
          <w:sz w:val="24"/>
          <w:szCs w:val="24"/>
          <w:lang w:eastAsia="zh-CN"/>
        </w:rPr>
        <w:t>注：请在学科类别中划√。</w:t>
      </w:r>
    </w:p>
    <w:p>
      <w:pPr>
        <w:pStyle w:val="12"/>
        <w:rPr>
          <w:rFonts w:cs="Times New Roman"/>
          <w:sz w:val="28"/>
          <w:szCs w:val="28"/>
        </w:rPr>
      </w:pPr>
    </w:p>
    <w:p>
      <w:pPr>
        <w:spacing w:line="560" w:lineRule="exact"/>
        <w:ind w:firstLine="417" w:firstLineChars="149"/>
        <w:textAlignment w:val="top"/>
        <w:rPr>
          <w:rFonts w:ascii="仿宋_GB2312" w:hAnsi="宋体" w:eastAsia="仿宋_GB2312" w:cs="Times New Roman"/>
          <w:color w:val="000000"/>
          <w:sz w:val="28"/>
          <w:szCs w:val="28"/>
        </w:rPr>
      </w:pPr>
    </w:p>
    <w:p>
      <w:pPr>
        <w:spacing w:line="560" w:lineRule="exact"/>
        <w:ind w:firstLine="417" w:firstLineChars="149"/>
        <w:textAlignment w:val="top"/>
        <w:rPr>
          <w:rFonts w:ascii="仿宋_GB2312" w:hAnsi="宋体" w:eastAsia="仿宋_GB2312" w:cs="Times New Roman"/>
          <w:color w:val="000000"/>
          <w:sz w:val="28"/>
          <w:szCs w:val="28"/>
        </w:rPr>
      </w:pPr>
    </w:p>
    <w:p>
      <w:pPr>
        <w:spacing w:line="560" w:lineRule="exact"/>
        <w:ind w:firstLine="417" w:firstLineChars="149"/>
        <w:textAlignment w:val="top"/>
        <w:rPr>
          <w:rFonts w:ascii="仿宋_GB2312" w:hAnsi="宋体" w:eastAsia="仿宋_GB2312" w:cs="Times New Roman"/>
          <w:color w:val="000000"/>
          <w:sz w:val="28"/>
          <w:szCs w:val="28"/>
        </w:rPr>
      </w:pPr>
    </w:p>
    <w:p>
      <w:pPr>
        <w:spacing w:line="560" w:lineRule="exact"/>
        <w:ind w:firstLine="417" w:firstLineChars="149"/>
        <w:textAlignment w:val="top"/>
        <w:rPr>
          <w:rFonts w:ascii="仿宋_GB2312" w:hAnsi="宋体" w:eastAsia="仿宋_GB2312" w:cs="Times New Roman"/>
          <w:color w:val="000000"/>
          <w:sz w:val="28"/>
          <w:szCs w:val="28"/>
        </w:rPr>
      </w:pPr>
    </w:p>
    <w:p>
      <w:pPr>
        <w:spacing w:line="560" w:lineRule="exact"/>
        <w:ind w:firstLine="417" w:firstLineChars="149"/>
        <w:textAlignment w:val="top"/>
        <w:rPr>
          <w:rFonts w:ascii="仿宋_GB2312" w:hAnsi="宋体" w:eastAsia="仿宋_GB2312" w:cs="Times New Roman"/>
          <w:color w:val="000000"/>
          <w:sz w:val="28"/>
          <w:szCs w:val="28"/>
        </w:rPr>
      </w:pPr>
    </w:p>
    <w:p>
      <w:pPr>
        <w:spacing w:line="560" w:lineRule="exact"/>
        <w:ind w:firstLine="312" w:firstLineChars="149"/>
        <w:textAlignment w:val="top"/>
        <w:rPr>
          <w:rFonts w:ascii="仿宋_GB2312" w:hAnsi="宋体" w:eastAsia="仿宋_GB2312" w:cs="Times New Roman"/>
          <w:color w:val="000000"/>
          <w:sz w:val="28"/>
          <w:szCs w:val="28"/>
        </w:rPr>
      </w:pPr>
      <w:bookmarkStart w:id="0" w:name="_GoBack"/>
      <w:bookmarkEnd w:id="0"/>
      <w:r>
        <w:pict>
          <v:line id="直线 7" o:spid="_x0000_s1027" o:spt="20" style="position:absolute;left:0pt;flip:y;margin-top:17.4pt;height:0.3pt;width:414pt;mso-position-horizontal:center;z-index:251660288;mso-width-relative:page;mso-height-relative:page;" coordsize="21600,21600">
            <v:path arrowok="t"/>
            <v:fill focussize="0,0"/>
            <v:stroke/>
            <v:imagedata o:title=""/>
            <o:lock v:ext="edit"/>
          </v:line>
        </w:pict>
      </w:r>
    </w:p>
    <w:p>
      <w:pPr>
        <w:spacing w:line="560" w:lineRule="exact"/>
        <w:ind w:left="2" w:leftChars="-43" w:right="15" w:rightChars="7" w:hanging="92" w:hangingChars="44"/>
        <w:textAlignment w:val="top"/>
        <w:rPr>
          <w:rFonts w:ascii="仿宋_GB2312" w:hAnsi="宋体" w:eastAsia="仿宋_GB2312" w:cs="Times New Roman"/>
          <w:color w:val="000000"/>
          <w:sz w:val="28"/>
          <w:szCs w:val="28"/>
        </w:rPr>
      </w:pPr>
      <w:r>
        <w:pict>
          <v:line id="直线 8" o:spid="_x0000_s1028" o:spt="20" style="position:absolute;left:0pt;margin-top:27.55pt;height:0.3pt;width:414pt;mso-position-horizontal:center;z-index:251659264;mso-width-relative:page;mso-height-relative:page;" coordsize="21600,21600">
            <v:path arrowok="t"/>
            <v:fill focussize="0,0"/>
            <v:stroke/>
            <v:imagedata o:title=""/>
            <o:lock v:ext="edit"/>
          </v:line>
        </w:pic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安徽省社会科学界联合会办公室</w:t>
      </w:r>
      <w:r>
        <w:rPr>
          <w:rFonts w:ascii="仿宋_GB2312" w:hAnsi="宋体" w:eastAsia="仿宋_GB2312" w:cs="仿宋_GB2312"/>
          <w:color w:val="000000"/>
          <w:sz w:val="28"/>
          <w:szCs w:val="28"/>
        </w:rPr>
        <w:t xml:space="preserve">      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7</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30</w:t>
      </w:r>
      <w:r>
        <w:rPr>
          <w:rFonts w:hint="eastAsia" w:ascii="仿宋_GB2312" w:hAnsi="宋体" w:eastAsia="仿宋_GB2312" w:cs="仿宋_GB2312"/>
          <w:color w:val="000000"/>
          <w:sz w:val="28"/>
          <w:szCs w:val="28"/>
        </w:rPr>
        <w:t>日印发</w:t>
      </w:r>
    </w:p>
    <w:p>
      <w:pPr>
        <w:pStyle w:val="12"/>
        <w:rPr>
          <w:rFonts w:cs="Times New Roman"/>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_GB2312">
    <w:altName w:val="DejaVu Math TeX Gyr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p>
    <w:pPr>
      <w:pStyle w:val="4"/>
      <w:ind w:right="360" w:firstLine="360"/>
      <w:rPr>
        <w:rFonts w:cs="Times New Roman"/>
      </w:rPr>
    </w:pPr>
    <w:r>
      <w:pict>
        <v:shape id="_x0000_s2049" o:spid="_x0000_s2049" o:spt="202" type="#_x0000_t202" style="position:absolute;left:0pt;margin-top:0pt;height:11pt;width:4.6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Fonts w:cs="Times New Roma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1MzA2Y2I2MDBmMWUyNDA5ZDNiYjVkNjQ1N2E5MWEifQ=="/>
  </w:docVars>
  <w:rsids>
    <w:rsidRoot w:val="003F51AF"/>
    <w:rsid w:val="0004051D"/>
    <w:rsid w:val="00052AC4"/>
    <w:rsid w:val="000829B2"/>
    <w:rsid w:val="000B4917"/>
    <w:rsid w:val="000E03BC"/>
    <w:rsid w:val="00173E5F"/>
    <w:rsid w:val="00281254"/>
    <w:rsid w:val="002909A4"/>
    <w:rsid w:val="00324334"/>
    <w:rsid w:val="003C1F48"/>
    <w:rsid w:val="003F4D09"/>
    <w:rsid w:val="003F51AF"/>
    <w:rsid w:val="00420249"/>
    <w:rsid w:val="004366DC"/>
    <w:rsid w:val="00474796"/>
    <w:rsid w:val="004A19A1"/>
    <w:rsid w:val="004E6172"/>
    <w:rsid w:val="0050637B"/>
    <w:rsid w:val="0056718E"/>
    <w:rsid w:val="00571710"/>
    <w:rsid w:val="007060F7"/>
    <w:rsid w:val="007F3FB3"/>
    <w:rsid w:val="007F487B"/>
    <w:rsid w:val="00820699"/>
    <w:rsid w:val="008B144C"/>
    <w:rsid w:val="00934A1C"/>
    <w:rsid w:val="009D2526"/>
    <w:rsid w:val="00A76003"/>
    <w:rsid w:val="00A848C1"/>
    <w:rsid w:val="00AA78EA"/>
    <w:rsid w:val="00B16764"/>
    <w:rsid w:val="00B85810"/>
    <w:rsid w:val="00BC57E9"/>
    <w:rsid w:val="00BE4CB6"/>
    <w:rsid w:val="00C0206B"/>
    <w:rsid w:val="00C216DE"/>
    <w:rsid w:val="00C73AFE"/>
    <w:rsid w:val="00D1190B"/>
    <w:rsid w:val="00D54334"/>
    <w:rsid w:val="00DE40A7"/>
    <w:rsid w:val="00E04321"/>
    <w:rsid w:val="00E47DD3"/>
    <w:rsid w:val="00EA1D7D"/>
    <w:rsid w:val="00ED4B53"/>
    <w:rsid w:val="00F43551"/>
    <w:rsid w:val="00F47769"/>
    <w:rsid w:val="00F9608A"/>
    <w:rsid w:val="17D3B417"/>
    <w:rsid w:val="1ABA29FA"/>
    <w:rsid w:val="1DF19F6E"/>
    <w:rsid w:val="1EC5DC8A"/>
    <w:rsid w:val="1FE36277"/>
    <w:rsid w:val="2AFB45C6"/>
    <w:rsid w:val="2FBB8104"/>
    <w:rsid w:val="2FDF5975"/>
    <w:rsid w:val="35DFD767"/>
    <w:rsid w:val="35E980A6"/>
    <w:rsid w:val="39C71C68"/>
    <w:rsid w:val="3B15C85B"/>
    <w:rsid w:val="3B800D64"/>
    <w:rsid w:val="3BB74CA0"/>
    <w:rsid w:val="3BF7EE21"/>
    <w:rsid w:val="3CFE8C2A"/>
    <w:rsid w:val="3D6723CA"/>
    <w:rsid w:val="3DAE6275"/>
    <w:rsid w:val="3DDF9354"/>
    <w:rsid w:val="3F7F775D"/>
    <w:rsid w:val="3FBF6259"/>
    <w:rsid w:val="3FFB91A4"/>
    <w:rsid w:val="3FFF8553"/>
    <w:rsid w:val="44492368"/>
    <w:rsid w:val="53F781AC"/>
    <w:rsid w:val="5AC6BAC9"/>
    <w:rsid w:val="5AE8208D"/>
    <w:rsid w:val="5EED3757"/>
    <w:rsid w:val="5F3E9F01"/>
    <w:rsid w:val="5FC8BA23"/>
    <w:rsid w:val="5FD34AE2"/>
    <w:rsid w:val="5FE6125C"/>
    <w:rsid w:val="5FFE6360"/>
    <w:rsid w:val="66E3942F"/>
    <w:rsid w:val="6AAF4A1F"/>
    <w:rsid w:val="6BFE6FFF"/>
    <w:rsid w:val="6FA67EBF"/>
    <w:rsid w:val="6FDB89EE"/>
    <w:rsid w:val="6FFFF173"/>
    <w:rsid w:val="7229599F"/>
    <w:rsid w:val="72BF305A"/>
    <w:rsid w:val="72DF2804"/>
    <w:rsid w:val="76BBEEE1"/>
    <w:rsid w:val="775BD169"/>
    <w:rsid w:val="775F9F25"/>
    <w:rsid w:val="777BAB97"/>
    <w:rsid w:val="77CF1050"/>
    <w:rsid w:val="77F7C3C1"/>
    <w:rsid w:val="77F96355"/>
    <w:rsid w:val="79BB4259"/>
    <w:rsid w:val="79ED2F55"/>
    <w:rsid w:val="79F658DB"/>
    <w:rsid w:val="79FEB37D"/>
    <w:rsid w:val="7AD7D3D8"/>
    <w:rsid w:val="7B45A337"/>
    <w:rsid w:val="7B7E41BB"/>
    <w:rsid w:val="7BB9C23D"/>
    <w:rsid w:val="7BDDA10A"/>
    <w:rsid w:val="7C321DA6"/>
    <w:rsid w:val="7DFB9DAD"/>
    <w:rsid w:val="7E593385"/>
    <w:rsid w:val="7EBF9838"/>
    <w:rsid w:val="7EFB200E"/>
    <w:rsid w:val="7EFF689E"/>
    <w:rsid w:val="7F6F5F66"/>
    <w:rsid w:val="7F76CB10"/>
    <w:rsid w:val="7FEB1E45"/>
    <w:rsid w:val="7FEBD2C8"/>
    <w:rsid w:val="7FFF1268"/>
    <w:rsid w:val="7FFFF041"/>
    <w:rsid w:val="87D6A5D3"/>
    <w:rsid w:val="8BDAFE20"/>
    <w:rsid w:val="96872525"/>
    <w:rsid w:val="9BFF1D93"/>
    <w:rsid w:val="9E7CA2CF"/>
    <w:rsid w:val="9FFFF044"/>
    <w:rsid w:val="AB9B8993"/>
    <w:rsid w:val="AD68EA43"/>
    <w:rsid w:val="AFEBEF10"/>
    <w:rsid w:val="AFF6C993"/>
    <w:rsid w:val="B57327F0"/>
    <w:rsid w:val="B5E55F7B"/>
    <w:rsid w:val="B71CBC48"/>
    <w:rsid w:val="B7976778"/>
    <w:rsid w:val="B7FE9517"/>
    <w:rsid w:val="B7FF640D"/>
    <w:rsid w:val="BCBB14D8"/>
    <w:rsid w:val="BEBD3562"/>
    <w:rsid w:val="BF3A99E9"/>
    <w:rsid w:val="BFEBA277"/>
    <w:rsid w:val="BFF7B6D9"/>
    <w:rsid w:val="CB9A62C0"/>
    <w:rsid w:val="CDABFB9D"/>
    <w:rsid w:val="D3BF46F9"/>
    <w:rsid w:val="D55F39D7"/>
    <w:rsid w:val="D5FDE950"/>
    <w:rsid w:val="D69A6948"/>
    <w:rsid w:val="D7775CE5"/>
    <w:rsid w:val="D7FB65EF"/>
    <w:rsid w:val="D9CD132D"/>
    <w:rsid w:val="DB7C47CA"/>
    <w:rsid w:val="DBEFDF79"/>
    <w:rsid w:val="DD136079"/>
    <w:rsid w:val="DFBFA659"/>
    <w:rsid w:val="DFC713BB"/>
    <w:rsid w:val="E523C58F"/>
    <w:rsid w:val="E6F688AF"/>
    <w:rsid w:val="E7593EC3"/>
    <w:rsid w:val="E9DB6E21"/>
    <w:rsid w:val="EBFB562B"/>
    <w:rsid w:val="EDFB5A02"/>
    <w:rsid w:val="EF9EE94E"/>
    <w:rsid w:val="EFC401F4"/>
    <w:rsid w:val="EFDD51D3"/>
    <w:rsid w:val="F37F4EE6"/>
    <w:rsid w:val="F4AFDED4"/>
    <w:rsid w:val="F5E734BB"/>
    <w:rsid w:val="F5FB191E"/>
    <w:rsid w:val="F79C8F1A"/>
    <w:rsid w:val="F7BBC800"/>
    <w:rsid w:val="F7CE3B11"/>
    <w:rsid w:val="F7F6A4C3"/>
    <w:rsid w:val="F9DE3564"/>
    <w:rsid w:val="F9F69CC8"/>
    <w:rsid w:val="FAFF734E"/>
    <w:rsid w:val="FB6B7964"/>
    <w:rsid w:val="FBD3D648"/>
    <w:rsid w:val="FBFFDA66"/>
    <w:rsid w:val="FCF730F2"/>
    <w:rsid w:val="FD7D5852"/>
    <w:rsid w:val="FDFDC58B"/>
    <w:rsid w:val="FDFF31DA"/>
    <w:rsid w:val="FEB5640D"/>
    <w:rsid w:val="FECB8131"/>
    <w:rsid w:val="FEE7441C"/>
    <w:rsid w:val="FEF972DC"/>
    <w:rsid w:val="FEFB4FD1"/>
    <w:rsid w:val="FF5E6CC2"/>
    <w:rsid w:val="FF7E3031"/>
    <w:rsid w:val="FFCDFD7B"/>
    <w:rsid w:val="FFD119E8"/>
    <w:rsid w:val="FFDA4EA7"/>
    <w:rsid w:val="FFE73383"/>
    <w:rsid w:val="FFF4225F"/>
    <w:rsid w:val="FFF7F39C"/>
    <w:rsid w:val="FFFBB90F"/>
    <w:rsid w:val="FFFDAC07"/>
    <w:rsid w:val="FFFE03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locked/>
    <w:uiPriority w:val="0"/>
    <w:rPr>
      <w:i/>
    </w:rPr>
  </w:style>
  <w:style w:type="character" w:styleId="11">
    <w:name w:val="Hyperlink"/>
    <w:basedOn w:val="8"/>
    <w:qFormat/>
    <w:uiPriority w:val="99"/>
    <w:rPr>
      <w:color w:val="auto"/>
      <w:u w:val="single"/>
    </w:rPr>
  </w:style>
  <w:style w:type="paragraph" w:customStyle="1" w:styleId="12">
    <w:name w:val="BodyText"/>
    <w:basedOn w:val="1"/>
    <w:qFormat/>
    <w:uiPriority w:val="99"/>
    <w:pPr>
      <w:spacing w:after="120"/>
      <w:textAlignment w:val="baseline"/>
    </w:pPr>
  </w:style>
  <w:style w:type="character" w:customStyle="1" w:styleId="13">
    <w:name w:val="Footer Char"/>
    <w:basedOn w:val="8"/>
    <w:link w:val="4"/>
    <w:qFormat/>
    <w:locked/>
    <w:uiPriority w:val="99"/>
    <w:rPr>
      <w:sz w:val="18"/>
      <w:szCs w:val="18"/>
    </w:rPr>
  </w:style>
  <w:style w:type="character" w:customStyle="1" w:styleId="14">
    <w:name w:val="Header Char"/>
    <w:basedOn w:val="8"/>
    <w:link w:val="5"/>
    <w:qFormat/>
    <w:locked/>
    <w:uiPriority w:val="99"/>
    <w:rPr>
      <w:sz w:val="18"/>
      <w:szCs w:val="18"/>
    </w:rPr>
  </w:style>
  <w:style w:type="character" w:customStyle="1" w:styleId="15">
    <w:name w:val="HTML Preformatted Char"/>
    <w:basedOn w:val="8"/>
    <w:link w:val="6"/>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HFUT</Company>
  <Pages>12</Pages>
  <Words>4204</Words>
  <Characters>4615</Characters>
  <Lines>0</Lines>
  <Paragraphs>0</Paragraphs>
  <TotalTime>36</TotalTime>
  <ScaleCrop>false</ScaleCrop>
  <LinksUpToDate>false</LinksUpToDate>
  <CharactersWithSpaces>4817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2023-08-06T08:08:00Z</dcterms:created>
  <dc:creator>HFUT</dc:creator>
  <cp:lastModifiedBy>WPS_1657073928</cp:lastModifiedBy>
  <cp:lastPrinted>2024-08-05T08:25:00Z</cp:lastPrinted>
  <dcterms:modified xsi:type="dcterms:W3CDTF">2024-08-06T08:48:38Z</dcterms:modified>
  <dc:title>关于安徽省社会科学界第十八届（2023）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F80BC868CF8147DAA98A22D4733A3AA9_12</vt:lpwstr>
  </property>
</Properties>
</file>