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447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智库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咨政报告选题</w:t>
      </w:r>
      <w:bookmarkStart w:id="0" w:name="heading_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供参考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）</w:t>
      </w:r>
    </w:p>
    <w:p w14:paraId="27B7C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ascii="Times New Roman" w:hAnsi="Times New Roman" w:eastAsia="黑体"/>
          <w:b w:val="0"/>
          <w:bCs/>
          <w:sz w:val="32"/>
          <w:szCs w:val="32"/>
        </w:rPr>
      </w:pPr>
      <w:r>
        <w:rPr>
          <w:rFonts w:ascii="Times New Roman" w:hAnsi="Times New Roman" w:eastAsia="黑体" w:cs="Arial"/>
          <w:b w:val="0"/>
          <w:bCs/>
          <w:sz w:val="32"/>
          <w:szCs w:val="32"/>
        </w:rPr>
        <w:t>一、宏观综合类</w:t>
      </w:r>
      <w:bookmarkEnd w:id="0"/>
    </w:p>
    <w:p w14:paraId="7C896C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1. 新质生产力视域下全要素生产率提升路径与政策体系研究</w:t>
      </w:r>
    </w:p>
    <w:p w14:paraId="3E77A2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2. 因地制宜发展新质生产力的区域差异化路</w:t>
      </w:r>
      <w:bookmarkStart w:id="7" w:name="_GoBack"/>
      <w:bookmarkEnd w:id="7"/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径研究</w:t>
      </w:r>
    </w:p>
    <w:p w14:paraId="627881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3. 政府与市场双重作用下新质生产力培育机制研究</w:t>
      </w:r>
    </w:p>
    <w:p w14:paraId="322987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4. 新质生产力评价指标体系构建与监测评估机制研究</w:t>
      </w:r>
    </w:p>
    <w:p w14:paraId="708A0D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5. 新质生产力发展政绩考核机制优化研究</w:t>
      </w:r>
    </w:p>
    <w:p w14:paraId="34132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0"/>
        <w:rPr>
          <w:rFonts w:ascii="Times New Roman" w:hAnsi="Times New Roman" w:eastAsia="黑体"/>
          <w:b w:val="0"/>
          <w:bCs/>
          <w:sz w:val="32"/>
          <w:szCs w:val="32"/>
        </w:rPr>
      </w:pPr>
      <w:bookmarkStart w:id="1" w:name="heading_1"/>
      <w:r>
        <w:rPr>
          <w:rFonts w:ascii="Times New Roman" w:hAnsi="Times New Roman" w:eastAsia="黑体" w:cs="Arial"/>
          <w:b w:val="0"/>
          <w:bCs/>
          <w:sz w:val="32"/>
          <w:szCs w:val="32"/>
        </w:rPr>
        <w:t>二、大力推进科技创新</w:t>
      </w:r>
      <w:bookmarkEnd w:id="1"/>
    </w:p>
    <w:p w14:paraId="297A91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1. 新型举国体制下关键核心技术全链条攻关的体制机制优化研究</w:t>
      </w:r>
    </w:p>
    <w:p w14:paraId="25DD9E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2. 目标导向与自由探索并重视角下基础研究、交叉学科突破的制度供给研究</w:t>
      </w:r>
    </w:p>
    <w:p w14:paraId="438DE9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bCs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3. 国家战略科技力量体系优化</w:t>
      </w:r>
      <w:r>
        <w:rPr>
          <w:rFonts w:hint="eastAsia" w:ascii="Times New Roman" w:hAnsi="Times New Roman" w:eastAsia="仿宋_GB2312" w:cs="Arial"/>
          <w:b w:val="0"/>
          <w:bCs/>
          <w:sz w:val="32"/>
          <w:szCs w:val="32"/>
          <w:lang w:val="en-US" w:eastAsia="zh-CN"/>
        </w:rPr>
        <w:t>研究</w:t>
      </w:r>
    </w:p>
    <w:p w14:paraId="6E0CFA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4. 强化企业科技创新主体地位的政策工具研究</w:t>
      </w:r>
    </w:p>
    <w:p w14:paraId="29BFA8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bCs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5. 破解科技成果转化堵点</w:t>
      </w:r>
      <w:r>
        <w:rPr>
          <w:rFonts w:hint="eastAsia" w:ascii="Times New Roman" w:hAnsi="Times New Roman" w:eastAsia="仿宋_GB2312" w:cs="Arial"/>
          <w:b w:val="0"/>
          <w:bCs/>
          <w:sz w:val="32"/>
          <w:szCs w:val="32"/>
          <w:lang w:val="en-US" w:eastAsia="zh-CN"/>
        </w:rPr>
        <w:t>研究</w:t>
      </w:r>
    </w:p>
    <w:p w14:paraId="32F009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6. “先使用后付费”成果许可模式赋能中小微企业的实施路径研究</w:t>
      </w:r>
    </w:p>
    <w:p w14:paraId="1C2A71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Arial"/>
          <w:b w:val="0"/>
          <w:bCs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. 人工智能赋能科研范式变革的实践路径与政策建议</w:t>
      </w:r>
    </w:p>
    <w:p w14:paraId="030BC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0"/>
        <w:rPr>
          <w:rFonts w:ascii="Times New Roman" w:hAnsi="Times New Roman" w:eastAsia="黑体"/>
          <w:b w:val="0"/>
          <w:bCs/>
          <w:sz w:val="32"/>
          <w:szCs w:val="32"/>
        </w:rPr>
      </w:pPr>
      <w:bookmarkStart w:id="2" w:name="heading_2"/>
      <w:r>
        <w:rPr>
          <w:rFonts w:ascii="Times New Roman" w:hAnsi="Times New Roman" w:eastAsia="黑体" w:cs="Arial"/>
          <w:b w:val="0"/>
          <w:bCs/>
          <w:sz w:val="32"/>
          <w:szCs w:val="32"/>
        </w:rPr>
        <w:t>三、科技创新与产业创新深度融合</w:t>
      </w:r>
      <w:bookmarkEnd w:id="2"/>
    </w:p>
    <w:p w14:paraId="5BD7C1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1. 传统产业数字化绿色化改造赋能新质生产力路径研究</w:t>
      </w:r>
    </w:p>
    <w:p w14:paraId="7D11DB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2. 战略性新兴产业集群建设与跨区域产业协作机制研究</w:t>
      </w:r>
    </w:p>
    <w:p w14:paraId="338569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3. 未来产业培育的投入增长与风险分担机制研究</w:t>
      </w:r>
    </w:p>
    <w:p w14:paraId="1C5A92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4. 数据要素制度建设赋能实体经济发展的对策研究</w:t>
      </w:r>
    </w:p>
    <w:p w14:paraId="116C49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Arial"/>
          <w:b w:val="0"/>
          <w:bCs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. 大规模设备更新、产业基础再造工程推进成效与优化政策研究</w:t>
      </w:r>
    </w:p>
    <w:p w14:paraId="7D288B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Arial"/>
          <w:b w:val="0"/>
          <w:bCs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. 低空经济、商业航天有序发展的产业监管与政策支撑研究</w:t>
      </w:r>
    </w:p>
    <w:p w14:paraId="3E5AFE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Arial"/>
          <w:b w:val="0"/>
          <w:bCs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. 智慧农业、农业工厂等农业新质生产力培育路径研究</w:t>
      </w:r>
    </w:p>
    <w:p w14:paraId="6B76A2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Arial"/>
          <w:b w:val="0"/>
          <w:bCs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. 智能网联汽车、人形机器人等新一代智能终端场景落地对策研究</w:t>
      </w:r>
    </w:p>
    <w:p w14:paraId="0B81F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0"/>
        <w:rPr>
          <w:rFonts w:hint="eastAsia" w:ascii="Times New Roman" w:hAnsi="Times New Roman" w:eastAsia="黑体"/>
          <w:b w:val="0"/>
          <w:bCs/>
          <w:sz w:val="32"/>
          <w:szCs w:val="32"/>
          <w:lang w:eastAsia="zh-CN"/>
        </w:rPr>
      </w:pPr>
      <w:bookmarkStart w:id="3" w:name="heading_3"/>
      <w:r>
        <w:rPr>
          <w:rFonts w:ascii="Times New Roman" w:hAnsi="Times New Roman" w:eastAsia="黑体" w:cs="Arial"/>
          <w:b w:val="0"/>
          <w:bCs/>
          <w:sz w:val="32"/>
          <w:szCs w:val="32"/>
        </w:rPr>
        <w:t>四、着力推进发展方式创新（绿色低碳</w:t>
      </w:r>
      <w:bookmarkEnd w:id="3"/>
      <w:r>
        <w:rPr>
          <w:rFonts w:hint="eastAsia" w:ascii="Times New Roman" w:hAnsi="Times New Roman" w:eastAsia="黑体" w:cs="Arial"/>
          <w:b w:val="0"/>
          <w:bCs/>
          <w:sz w:val="32"/>
          <w:szCs w:val="32"/>
          <w:lang w:eastAsia="zh-CN"/>
        </w:rPr>
        <w:t>）</w:t>
      </w:r>
    </w:p>
    <w:p w14:paraId="193D6E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1. 新质生产力背景下绿色低碳循环经济体系构建研究</w:t>
      </w:r>
    </w:p>
    <w:p w14:paraId="358794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2. 碳市场、绿证、碳足迹、碳标识协同联动的政策工具箱优化研究</w:t>
      </w:r>
    </w:p>
    <w:p w14:paraId="6B010B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3. 零碳工厂、零碳园区建设的实施路径与激励政策研究</w:t>
      </w:r>
    </w:p>
    <w:p w14:paraId="6851D7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bCs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4. 能源革命与新质生产力协同发展</w:t>
      </w:r>
      <w:r>
        <w:rPr>
          <w:rFonts w:hint="eastAsia" w:ascii="Times New Roman" w:hAnsi="Times New Roman" w:eastAsia="仿宋_GB2312" w:cs="Arial"/>
          <w:b w:val="0"/>
          <w:bCs/>
          <w:sz w:val="32"/>
          <w:szCs w:val="32"/>
          <w:lang w:val="en-US" w:eastAsia="zh-CN"/>
        </w:rPr>
        <w:t>研究</w:t>
      </w:r>
    </w:p>
    <w:p w14:paraId="7E0AE9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Arial"/>
          <w:b w:val="0"/>
          <w:bCs/>
          <w:sz w:val="32"/>
          <w:szCs w:val="32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 xml:space="preserve">5. </w:t>
      </w:r>
      <w:r>
        <w:rPr>
          <w:rFonts w:hint="eastAsia" w:ascii="Times New Roman" w:hAnsi="Times New Roman" w:eastAsia="仿宋_GB2312" w:cs="Arial"/>
          <w:b w:val="0"/>
          <w:bCs/>
          <w:sz w:val="32"/>
          <w:szCs w:val="32"/>
        </w:rPr>
        <w:t>绿色消费牵引供给视角下激励机制构建对策研究</w:t>
      </w:r>
    </w:p>
    <w:p w14:paraId="0FA2E9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6. 生态产品价值实现机制赋能新质生产力的实践路径</w:t>
      </w:r>
    </w:p>
    <w:p w14:paraId="3DF9D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4" w:name="heading_4"/>
      <w:r>
        <w:rPr>
          <w:rFonts w:hint="eastAsia" w:ascii="黑体" w:hAnsi="黑体" w:eastAsia="黑体" w:cs="黑体"/>
          <w:b w:val="0"/>
          <w:bCs/>
          <w:sz w:val="32"/>
          <w:szCs w:val="32"/>
        </w:rPr>
        <w:t>五、扎实推进体制机制创新</w:t>
      </w:r>
      <w:bookmarkEnd w:id="4"/>
    </w:p>
    <w:p w14:paraId="3E6ED8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1. 与新质生产力相适配的生产关系改革研究</w:t>
      </w:r>
    </w:p>
    <w:p w14:paraId="661213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2. 职务科技成果赋权改革、技术市场与全国一体化数据市场建设研究</w:t>
      </w:r>
    </w:p>
    <w:p w14:paraId="217A75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bCs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3. 新质生产力的金融支撑体系建设</w:t>
      </w:r>
      <w:r>
        <w:rPr>
          <w:rFonts w:hint="eastAsia" w:ascii="Times New Roman" w:hAnsi="Times New Roman" w:eastAsia="仿宋_GB2312" w:cs="Arial"/>
          <w:b w:val="0"/>
          <w:bCs/>
          <w:sz w:val="32"/>
          <w:szCs w:val="32"/>
          <w:lang w:val="en-US" w:eastAsia="zh-CN"/>
        </w:rPr>
        <w:t>研究</w:t>
      </w:r>
    </w:p>
    <w:p w14:paraId="0A0A36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Arial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Arial"/>
          <w:b w:val="0"/>
          <w:bCs/>
          <w:sz w:val="32"/>
          <w:szCs w:val="32"/>
          <w:lang w:val="en-US" w:eastAsia="zh-CN"/>
        </w:rPr>
        <w:t>4.</w:t>
      </w:r>
      <w:r>
        <w:rPr>
          <w:rFonts w:hint="eastAsia" w:ascii="Times New Roman" w:hAnsi="Times New Roman" w:eastAsia="仿宋_GB2312" w:cs="Arial"/>
          <w:b w:val="0"/>
          <w:bCs/>
          <w:sz w:val="32"/>
          <w:szCs w:val="32"/>
        </w:rPr>
        <w:t>数据驱动视角下人工智能与生物新业态监管创新研究</w:t>
      </w:r>
    </w:p>
    <w:p w14:paraId="761C08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5. 高水平对外开放下全球先进生产要素配置机制研究</w:t>
      </w:r>
    </w:p>
    <w:p w14:paraId="4E4B87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6. 面向新业态的税收制度优化研究</w:t>
      </w:r>
    </w:p>
    <w:p w14:paraId="66376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5" w:name="heading_5"/>
      <w:r>
        <w:rPr>
          <w:rFonts w:hint="eastAsia" w:ascii="黑体" w:hAnsi="黑体" w:eastAsia="黑体" w:cs="黑体"/>
          <w:b w:val="0"/>
          <w:bCs/>
          <w:sz w:val="32"/>
          <w:szCs w:val="32"/>
        </w:rPr>
        <w:t>六、深化人才工作机制创新</w:t>
      </w:r>
      <w:bookmarkEnd w:id="5"/>
    </w:p>
    <w:p w14:paraId="779709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Arial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Arial"/>
          <w:b w:val="0"/>
          <w:bCs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 w:cs="Arial"/>
          <w:b w:val="0"/>
          <w:bCs/>
          <w:sz w:val="32"/>
          <w:szCs w:val="32"/>
        </w:rPr>
        <w:t>教育科技人才一体化改革下适配新质生产力的人才供给体系研究</w:t>
      </w:r>
    </w:p>
    <w:p w14:paraId="73F8E3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Arial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Arial"/>
          <w:b w:val="0"/>
          <w:bCs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仿宋_GB2312" w:cs="Arial"/>
          <w:b w:val="0"/>
          <w:bCs/>
          <w:sz w:val="32"/>
          <w:szCs w:val="32"/>
        </w:rPr>
        <w:t>高校学科专业动态调整与职教工学一体化改革对策研究</w:t>
      </w:r>
    </w:p>
    <w:p w14:paraId="4154AF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Arial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Arial"/>
          <w:b w:val="0"/>
          <w:bCs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 w:cs="Arial"/>
          <w:b w:val="0"/>
          <w:bCs/>
          <w:sz w:val="32"/>
          <w:szCs w:val="32"/>
        </w:rPr>
        <w:t>破除“帽子”“论文”导向的科研评价与激励机制改革研究</w:t>
      </w:r>
    </w:p>
    <w:p w14:paraId="552337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Arial"/>
          <w:b w:val="0"/>
          <w:bCs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. 校企联合定制化培养科技产业人才模式研究</w:t>
      </w:r>
    </w:p>
    <w:p w14:paraId="73B054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Arial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Arial"/>
          <w:b w:val="0"/>
          <w:bCs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. 高校</w:t>
      </w:r>
      <w:r>
        <w:rPr>
          <w:rFonts w:hint="eastAsia" w:ascii="Times New Roman" w:hAnsi="Times New Roman" w:eastAsia="仿宋_GB2312" w:cs="Arial"/>
          <w:b w:val="0"/>
          <w:bCs/>
          <w:sz w:val="32"/>
          <w:szCs w:val="32"/>
          <w:lang w:eastAsia="zh-CN"/>
        </w:rPr>
        <w:t>—</w:t>
      </w: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科研院所</w:t>
      </w:r>
      <w:r>
        <w:rPr>
          <w:rFonts w:hint="eastAsia" w:ascii="Times New Roman" w:hAnsi="Times New Roman" w:eastAsia="仿宋_GB2312" w:cs="Arial"/>
          <w:b w:val="0"/>
          <w:bCs/>
          <w:sz w:val="32"/>
          <w:szCs w:val="32"/>
          <w:lang w:eastAsia="zh-CN"/>
        </w:rPr>
        <w:t>—</w:t>
      </w: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企业人才双向流动壁垒破除的政策工具研究</w:t>
      </w:r>
    </w:p>
    <w:p w14:paraId="3E0C9D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Arial"/>
          <w:b w:val="0"/>
          <w:bCs/>
          <w:sz w:val="32"/>
          <w:szCs w:val="32"/>
        </w:rPr>
      </w:pPr>
    </w:p>
    <w:p w14:paraId="7F567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6" w:name="heading_6"/>
      <w:r>
        <w:rPr>
          <w:rFonts w:hint="eastAsia" w:ascii="黑体" w:hAnsi="黑体" w:eastAsia="黑体" w:cs="黑体"/>
          <w:b w:val="0"/>
          <w:bCs/>
          <w:sz w:val="32"/>
          <w:szCs w:val="32"/>
        </w:rPr>
        <w:t>七、组织实施、地方落地与风险防控</w:t>
      </w:r>
      <w:bookmarkEnd w:id="6"/>
    </w:p>
    <w:p w14:paraId="1700E6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Arial"/>
          <w:b w:val="0"/>
          <w:bCs/>
          <w:sz w:val="32"/>
          <w:szCs w:val="32"/>
          <w:lang w:val="en-US" w:eastAsia="zh-CN"/>
        </w:rPr>
        <w:t>1.</w:t>
      </w: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全国一盘棋下</w:t>
      </w:r>
      <w:r>
        <w:rPr>
          <w:rFonts w:hint="eastAsia" w:ascii="Times New Roman" w:hAnsi="Times New Roman" w:eastAsia="仿宋_GB2312" w:cs="Arial"/>
          <w:b w:val="0"/>
          <w:bCs/>
          <w:sz w:val="32"/>
          <w:szCs w:val="32"/>
          <w:lang w:val="en-US" w:eastAsia="zh-CN"/>
        </w:rPr>
        <w:t>安徽省</w:t>
      </w: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重大生产力布局优化与分类指导机制研究</w:t>
      </w:r>
    </w:p>
    <w:p w14:paraId="5CE786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Arial"/>
          <w:b w:val="0"/>
          <w:bCs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 xml:space="preserve">. </w:t>
      </w:r>
      <w:r>
        <w:rPr>
          <w:rFonts w:hint="eastAsia" w:ascii="Times New Roman" w:hAnsi="Times New Roman" w:eastAsia="仿宋_GB2312" w:cs="Arial"/>
          <w:b w:val="0"/>
          <w:bCs/>
          <w:sz w:val="32"/>
          <w:szCs w:val="32"/>
          <w:lang w:val="en-US" w:eastAsia="zh-CN"/>
        </w:rPr>
        <w:t>安徽省</w:t>
      </w: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新质生产力监测评估体系、部门协同工作机制建设研究</w:t>
      </w:r>
    </w:p>
    <w:p w14:paraId="600990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Arial"/>
          <w:b w:val="0"/>
          <w:bCs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 xml:space="preserve">. </w:t>
      </w:r>
      <w:r>
        <w:rPr>
          <w:rFonts w:hint="eastAsia" w:ascii="Times New Roman" w:hAnsi="Times New Roman" w:eastAsia="仿宋_GB2312" w:cs="Arial"/>
          <w:b w:val="0"/>
          <w:bCs/>
          <w:sz w:val="32"/>
          <w:szCs w:val="32"/>
          <w:lang w:val="en-US" w:eastAsia="zh-CN"/>
        </w:rPr>
        <w:t>安徽省</w:t>
      </w:r>
      <w:r>
        <w:rPr>
          <w:rFonts w:ascii="Times New Roman" w:hAnsi="Times New Roman" w:eastAsia="仿宋_GB2312" w:cs="Arial"/>
          <w:b w:val="0"/>
          <w:bCs/>
          <w:sz w:val="32"/>
          <w:szCs w:val="32"/>
        </w:rPr>
        <w:t>因地制宜培育新质生产力的比较优势与突破方向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44117D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CEA1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53DA0"/>
    <w:rsid w:val="05834B0B"/>
    <w:rsid w:val="08EB6C4F"/>
    <w:rsid w:val="08F31FA8"/>
    <w:rsid w:val="0B4E7969"/>
    <w:rsid w:val="0DC3019B"/>
    <w:rsid w:val="1299596E"/>
    <w:rsid w:val="136046DE"/>
    <w:rsid w:val="14522278"/>
    <w:rsid w:val="147026FF"/>
    <w:rsid w:val="18702CCD"/>
    <w:rsid w:val="18B0756E"/>
    <w:rsid w:val="19962D01"/>
    <w:rsid w:val="1A750A6F"/>
    <w:rsid w:val="1CC21F65"/>
    <w:rsid w:val="1FC90CAF"/>
    <w:rsid w:val="21110DC5"/>
    <w:rsid w:val="225E003A"/>
    <w:rsid w:val="24B3365E"/>
    <w:rsid w:val="25461985"/>
    <w:rsid w:val="270A69E3"/>
    <w:rsid w:val="2B8B636C"/>
    <w:rsid w:val="2C714E0E"/>
    <w:rsid w:val="2C923702"/>
    <w:rsid w:val="2CA84CD4"/>
    <w:rsid w:val="2D9922BB"/>
    <w:rsid w:val="33641229"/>
    <w:rsid w:val="34983880"/>
    <w:rsid w:val="34EA39B0"/>
    <w:rsid w:val="35CD1307"/>
    <w:rsid w:val="375515B4"/>
    <w:rsid w:val="3B800BCA"/>
    <w:rsid w:val="3BF07AFD"/>
    <w:rsid w:val="3C5E0F0B"/>
    <w:rsid w:val="3D0A1093"/>
    <w:rsid w:val="3D453E79"/>
    <w:rsid w:val="3EFB5137"/>
    <w:rsid w:val="410D4CAE"/>
    <w:rsid w:val="422C5607"/>
    <w:rsid w:val="446C2633"/>
    <w:rsid w:val="4A834233"/>
    <w:rsid w:val="4E453CD9"/>
    <w:rsid w:val="4EA355F9"/>
    <w:rsid w:val="4F9273F2"/>
    <w:rsid w:val="58111F11"/>
    <w:rsid w:val="58B8154B"/>
    <w:rsid w:val="5AAE2C06"/>
    <w:rsid w:val="5AD36B10"/>
    <w:rsid w:val="5BB66216"/>
    <w:rsid w:val="5C7659A5"/>
    <w:rsid w:val="5EC450EE"/>
    <w:rsid w:val="5ECA1FD8"/>
    <w:rsid w:val="64540CC2"/>
    <w:rsid w:val="65E25E59"/>
    <w:rsid w:val="65E676F8"/>
    <w:rsid w:val="68BE670A"/>
    <w:rsid w:val="69CE0BCF"/>
    <w:rsid w:val="75AD0232"/>
    <w:rsid w:val="75E874BC"/>
    <w:rsid w:val="7C23124E"/>
    <w:rsid w:val="7C332759"/>
    <w:rsid w:val="7F2826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1044</Words>
  <Characters>1084</Characters>
  <TotalTime>321</TotalTime>
  <ScaleCrop>false</ScaleCrop>
  <LinksUpToDate>false</LinksUpToDate>
  <CharactersWithSpaces>1119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2026-10-19T07:30:00Z</dcterms:created>
  <dc:creator>Apache POI</dc:creator>
  <cp:lastModifiedBy>安黎</cp:lastModifiedBy>
  <dcterms:modified xsi:type="dcterms:W3CDTF">2026-10-22T08:45:49Z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{"Label":"1","ContentProducer":"001191110102MACQD9K64010000","ProduceID":"7698277954161986560","ReservedCode1":"","ContentPropagator":"","PropagateID":"","ReservedCode2":""}</vt:lpwstr>
  </property>
  <property fmtid="{D5CDD505-2E9C-101B-9397-08002B2CF9AE}" pid="3" name="KSOTemplateDocerSaveRecord">
    <vt:lpwstr>eyJoZGlkIjoiZmI5YjM1OTM5NTNlODY4NGY3MDM5MWI1NGU0NTU5N2QiLCJ1c2VySWQiOiIzMDU1NzU3NTAifQ==</vt:lpwstr>
  </property>
  <property fmtid="{D5CDD505-2E9C-101B-9397-08002B2CF9AE}" pid="4" name="KSOProductBuildVer">
    <vt:lpwstr>2052-12.1.0.29161</vt:lpwstr>
  </property>
  <property fmtid="{D5CDD505-2E9C-101B-9397-08002B2CF9AE}" pid="5" name="ICV">
    <vt:lpwstr>C6402DA1196B413BA0DED64BA43E3122_13</vt:lpwstr>
  </property>
</Properties>
</file>